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198F" w:rsidRPr="00124AD6" w:rsidRDefault="009B198F" w:rsidP="009B198F">
      <w:pPr>
        <w:rPr>
          <w:b/>
        </w:rPr>
      </w:pPr>
      <w:bookmarkStart w:id="0" w:name="_GoBack"/>
      <w:bookmarkEnd w:id="0"/>
    </w:p>
    <w:p w:rsidR="008B5887" w:rsidRPr="00124AD6" w:rsidRDefault="008B5887" w:rsidP="009B198F">
      <w:pPr>
        <w:jc w:val="center"/>
        <w:rPr>
          <w:b/>
        </w:rPr>
      </w:pPr>
    </w:p>
    <w:p w:rsidR="008B5887" w:rsidRPr="00124AD6" w:rsidRDefault="008B5887" w:rsidP="009B198F">
      <w:pPr>
        <w:jc w:val="center"/>
        <w:rPr>
          <w:b/>
        </w:rPr>
      </w:pPr>
    </w:p>
    <w:p w:rsidR="00840F09" w:rsidRPr="00124AD6" w:rsidRDefault="00840F09" w:rsidP="009B198F">
      <w:pPr>
        <w:jc w:val="center"/>
        <w:rPr>
          <w:b/>
        </w:rPr>
      </w:pPr>
    </w:p>
    <w:p w:rsidR="005A7D3A" w:rsidRPr="00124AD6" w:rsidRDefault="005A7D3A" w:rsidP="009B198F">
      <w:pPr>
        <w:jc w:val="center"/>
        <w:rPr>
          <w:b/>
        </w:rPr>
      </w:pPr>
    </w:p>
    <w:p w:rsidR="005A7D3A" w:rsidRPr="00124AD6" w:rsidRDefault="005A7D3A" w:rsidP="009B198F">
      <w:pPr>
        <w:jc w:val="center"/>
        <w:rPr>
          <w:b/>
        </w:rPr>
      </w:pPr>
    </w:p>
    <w:p w:rsidR="005A7D3A" w:rsidRPr="00124AD6" w:rsidRDefault="005A7D3A" w:rsidP="009B198F">
      <w:pPr>
        <w:jc w:val="center"/>
        <w:rPr>
          <w:b/>
        </w:rPr>
      </w:pPr>
    </w:p>
    <w:p w:rsidR="000B2527" w:rsidRPr="00124AD6" w:rsidRDefault="000B2527" w:rsidP="009B198F">
      <w:pPr>
        <w:jc w:val="center"/>
        <w:rPr>
          <w:b/>
        </w:rPr>
      </w:pPr>
    </w:p>
    <w:p w:rsidR="000B2527" w:rsidRPr="00124AD6" w:rsidRDefault="000B2527" w:rsidP="009B198F">
      <w:pPr>
        <w:jc w:val="center"/>
        <w:rPr>
          <w:b/>
        </w:rPr>
      </w:pPr>
    </w:p>
    <w:p w:rsidR="000B2527" w:rsidRPr="00124AD6" w:rsidRDefault="000B2527" w:rsidP="009B198F">
      <w:pPr>
        <w:jc w:val="center"/>
        <w:rPr>
          <w:b/>
        </w:rPr>
      </w:pPr>
    </w:p>
    <w:p w:rsidR="009B198F" w:rsidRPr="00124AD6" w:rsidRDefault="009B198F" w:rsidP="009B198F">
      <w:pPr>
        <w:jc w:val="center"/>
        <w:rPr>
          <w:b/>
        </w:rPr>
      </w:pPr>
    </w:p>
    <w:p w:rsidR="00DE6251" w:rsidRPr="00124AD6" w:rsidRDefault="00DE6251" w:rsidP="009B198F">
      <w:pPr>
        <w:jc w:val="center"/>
        <w:rPr>
          <w:b/>
        </w:rPr>
      </w:pPr>
    </w:p>
    <w:p w:rsidR="00DE6251" w:rsidRPr="00124AD6" w:rsidRDefault="00DE6251" w:rsidP="009B198F">
      <w:pPr>
        <w:jc w:val="center"/>
        <w:rPr>
          <w:b/>
        </w:rPr>
      </w:pPr>
    </w:p>
    <w:p w:rsidR="000F4303" w:rsidRPr="00124AD6" w:rsidRDefault="000F4303" w:rsidP="009B198F">
      <w:pPr>
        <w:jc w:val="center"/>
        <w:rPr>
          <w:b/>
        </w:rPr>
      </w:pPr>
    </w:p>
    <w:p w:rsidR="000F4303" w:rsidRPr="00124AD6" w:rsidRDefault="000F4303" w:rsidP="009B198F">
      <w:pPr>
        <w:jc w:val="center"/>
        <w:rPr>
          <w:b/>
        </w:rPr>
      </w:pPr>
    </w:p>
    <w:p w:rsidR="00DE6251" w:rsidRPr="00124AD6" w:rsidRDefault="00DE6251" w:rsidP="009B198F">
      <w:pPr>
        <w:jc w:val="center"/>
        <w:rPr>
          <w:b/>
        </w:rPr>
      </w:pPr>
    </w:p>
    <w:p w:rsidR="00DE6251" w:rsidRPr="00124AD6" w:rsidRDefault="00DE6251" w:rsidP="009B198F">
      <w:pPr>
        <w:jc w:val="center"/>
        <w:rPr>
          <w:b/>
        </w:rPr>
      </w:pPr>
    </w:p>
    <w:p w:rsidR="009F4BF5" w:rsidRPr="00124AD6" w:rsidRDefault="009F4BF5" w:rsidP="009B198F">
      <w:pPr>
        <w:jc w:val="center"/>
        <w:rPr>
          <w:b/>
        </w:rPr>
      </w:pPr>
    </w:p>
    <w:p w:rsidR="009B198F" w:rsidRPr="00124AD6" w:rsidRDefault="009B198F" w:rsidP="009B198F">
      <w:pPr>
        <w:jc w:val="center"/>
        <w:rPr>
          <w:b/>
        </w:rPr>
      </w:pPr>
    </w:p>
    <w:p w:rsidR="000912DD" w:rsidRDefault="000912DD" w:rsidP="000912DD">
      <w:pPr>
        <w:jc w:val="center"/>
        <w:rPr>
          <w:b/>
          <w:sz w:val="36"/>
        </w:rPr>
      </w:pPr>
      <w:r>
        <w:rPr>
          <w:b/>
          <w:sz w:val="36"/>
        </w:rPr>
        <w:t>ÍNDICE DE PRESUPUESTO ABIERTO</w:t>
      </w:r>
    </w:p>
    <w:p w:rsidR="00612210" w:rsidRPr="004C0853" w:rsidRDefault="000912DD" w:rsidP="000912DD">
      <w:pPr>
        <w:jc w:val="center"/>
        <w:rPr>
          <w:b/>
          <w:sz w:val="36"/>
        </w:rPr>
      </w:pPr>
      <w:r>
        <w:rPr>
          <w:b/>
          <w:sz w:val="36"/>
        </w:rPr>
        <w:t>INFORME</w:t>
      </w:r>
      <w:r w:rsidR="0097754B">
        <w:rPr>
          <w:b/>
          <w:sz w:val="36"/>
        </w:rPr>
        <w:t xml:space="preserve"> </w:t>
      </w:r>
      <w:r>
        <w:rPr>
          <w:b/>
          <w:sz w:val="36"/>
        </w:rPr>
        <w:t>DE FIN DE AÑO</w:t>
      </w:r>
    </w:p>
    <w:p w:rsidR="009C0920" w:rsidRPr="004C0853" w:rsidRDefault="002E3253" w:rsidP="009C0920">
      <w:pPr>
        <w:jc w:val="center"/>
        <w:rPr>
          <w:b/>
          <w:sz w:val="36"/>
        </w:rPr>
      </w:pPr>
      <w:r w:rsidRPr="004C0853">
        <w:rPr>
          <w:b/>
          <w:sz w:val="36"/>
        </w:rPr>
        <w:t>REPÚ</w:t>
      </w:r>
      <w:r w:rsidR="009C0920" w:rsidRPr="004C0853">
        <w:rPr>
          <w:b/>
          <w:sz w:val="36"/>
        </w:rPr>
        <w:t>BLICA DE GUATEMALA</w:t>
      </w:r>
    </w:p>
    <w:p w:rsidR="009B198F" w:rsidRPr="004C0853" w:rsidRDefault="00D92F84" w:rsidP="009B198F">
      <w:pPr>
        <w:jc w:val="center"/>
        <w:rPr>
          <w:b/>
          <w:sz w:val="36"/>
        </w:rPr>
      </w:pPr>
      <w:r w:rsidRPr="004C0853">
        <w:rPr>
          <w:b/>
          <w:sz w:val="36"/>
        </w:rPr>
        <w:t>AL 31 DE DICIEMBRE DE 201</w:t>
      </w:r>
      <w:r w:rsidR="00473543">
        <w:rPr>
          <w:b/>
          <w:sz w:val="36"/>
        </w:rPr>
        <w:t>9</w:t>
      </w:r>
    </w:p>
    <w:p w:rsidR="009B198F" w:rsidRPr="00124AD6" w:rsidRDefault="009B198F" w:rsidP="008B2C6D">
      <w:pPr>
        <w:tabs>
          <w:tab w:val="left" w:pos="142"/>
        </w:tabs>
        <w:jc w:val="center"/>
        <w:rPr>
          <w:b/>
        </w:rPr>
      </w:pPr>
    </w:p>
    <w:p w:rsidR="009B198F" w:rsidRPr="00124AD6" w:rsidRDefault="009B198F" w:rsidP="009B198F">
      <w:pPr>
        <w:jc w:val="center"/>
        <w:rPr>
          <w:b/>
        </w:rPr>
      </w:pPr>
    </w:p>
    <w:p w:rsidR="009B198F" w:rsidRPr="00124AD6" w:rsidRDefault="009B198F" w:rsidP="009B198F">
      <w:pPr>
        <w:jc w:val="center"/>
        <w:rPr>
          <w:b/>
        </w:rPr>
      </w:pPr>
    </w:p>
    <w:p w:rsidR="008C03DC" w:rsidRPr="00124AD6" w:rsidRDefault="008C03DC" w:rsidP="009B198F">
      <w:pPr>
        <w:jc w:val="center"/>
        <w:rPr>
          <w:b/>
        </w:rPr>
      </w:pPr>
    </w:p>
    <w:p w:rsidR="009B198F" w:rsidRPr="00124AD6" w:rsidRDefault="009B198F" w:rsidP="009B198F">
      <w:pPr>
        <w:jc w:val="center"/>
        <w:rPr>
          <w:b/>
        </w:rPr>
      </w:pPr>
    </w:p>
    <w:p w:rsidR="009B198F" w:rsidRDefault="009B198F" w:rsidP="009B198F">
      <w:pPr>
        <w:jc w:val="center"/>
        <w:rPr>
          <w:b/>
        </w:rPr>
      </w:pPr>
    </w:p>
    <w:p w:rsidR="00C6402E" w:rsidRDefault="00C6402E" w:rsidP="009B198F">
      <w:pPr>
        <w:jc w:val="center"/>
        <w:rPr>
          <w:b/>
        </w:rPr>
      </w:pPr>
    </w:p>
    <w:p w:rsidR="00C6402E" w:rsidRDefault="00C6402E" w:rsidP="009B198F">
      <w:pPr>
        <w:jc w:val="center"/>
        <w:rPr>
          <w:b/>
        </w:rPr>
      </w:pPr>
    </w:p>
    <w:p w:rsidR="00C6402E" w:rsidRDefault="00C6402E" w:rsidP="009B198F">
      <w:pPr>
        <w:jc w:val="center"/>
        <w:rPr>
          <w:b/>
        </w:rPr>
      </w:pPr>
    </w:p>
    <w:p w:rsidR="00C6402E" w:rsidRPr="00124AD6" w:rsidRDefault="00C6402E" w:rsidP="009B198F">
      <w:pPr>
        <w:jc w:val="center"/>
        <w:rPr>
          <w:b/>
        </w:rPr>
      </w:pPr>
    </w:p>
    <w:p w:rsidR="009B198F" w:rsidRPr="00124AD6" w:rsidRDefault="009B198F" w:rsidP="009B198F">
      <w:pPr>
        <w:jc w:val="center"/>
        <w:rPr>
          <w:b/>
        </w:rPr>
      </w:pPr>
    </w:p>
    <w:p w:rsidR="009B198F" w:rsidRPr="00124AD6" w:rsidRDefault="009B198F" w:rsidP="009B198F">
      <w:pPr>
        <w:jc w:val="center"/>
        <w:rPr>
          <w:b/>
        </w:rPr>
      </w:pPr>
    </w:p>
    <w:p w:rsidR="009B198F" w:rsidRPr="00124AD6" w:rsidRDefault="009B198F" w:rsidP="009B198F">
      <w:pPr>
        <w:rPr>
          <w:b/>
        </w:rPr>
      </w:pPr>
    </w:p>
    <w:p w:rsidR="009B198F" w:rsidRPr="00124AD6" w:rsidRDefault="009B198F" w:rsidP="009B198F">
      <w:pPr>
        <w:jc w:val="center"/>
        <w:rPr>
          <w:b/>
        </w:rPr>
      </w:pPr>
    </w:p>
    <w:p w:rsidR="009B198F" w:rsidRPr="00124AD6" w:rsidRDefault="009B198F" w:rsidP="009B198F">
      <w:pPr>
        <w:rPr>
          <w:b/>
        </w:rPr>
      </w:pPr>
    </w:p>
    <w:p w:rsidR="009B198F" w:rsidRPr="00124AD6" w:rsidRDefault="009B198F" w:rsidP="009B198F">
      <w:pPr>
        <w:rPr>
          <w:b/>
        </w:rPr>
      </w:pPr>
    </w:p>
    <w:p w:rsidR="009C0920" w:rsidRPr="00124AD6" w:rsidRDefault="009C0920" w:rsidP="009C0920">
      <w:pPr>
        <w:jc w:val="center"/>
        <w:rPr>
          <w:b/>
        </w:rPr>
      </w:pPr>
      <w:r w:rsidRPr="00124AD6">
        <w:rPr>
          <w:b/>
        </w:rPr>
        <w:t>MINISTERIO DE FINANZAS PÚBLICAS</w:t>
      </w:r>
    </w:p>
    <w:p w:rsidR="009C0920" w:rsidRPr="00124AD6" w:rsidRDefault="009C0920" w:rsidP="009C0920">
      <w:pPr>
        <w:jc w:val="center"/>
        <w:rPr>
          <w:b/>
        </w:rPr>
      </w:pPr>
    </w:p>
    <w:p w:rsidR="008B5887" w:rsidRPr="00124AD6" w:rsidRDefault="008B5887" w:rsidP="008B5887">
      <w:pPr>
        <w:jc w:val="center"/>
        <w:rPr>
          <w:b/>
        </w:rPr>
      </w:pPr>
      <w:r w:rsidRPr="00124AD6">
        <w:rPr>
          <w:b/>
        </w:rPr>
        <w:t>Guatemala,</w:t>
      </w:r>
      <w:r w:rsidR="00680151" w:rsidRPr="00124AD6">
        <w:rPr>
          <w:b/>
        </w:rPr>
        <w:t xml:space="preserve"> </w:t>
      </w:r>
      <w:r w:rsidR="002D7EED">
        <w:rPr>
          <w:b/>
        </w:rPr>
        <w:t>febrero</w:t>
      </w:r>
      <w:r w:rsidR="00473543">
        <w:rPr>
          <w:b/>
        </w:rPr>
        <w:t xml:space="preserve"> de 2020</w:t>
      </w:r>
      <w:r w:rsidR="00EC58A6">
        <w:rPr>
          <w:b/>
        </w:rPr>
        <w:t>.</w:t>
      </w:r>
    </w:p>
    <w:p w:rsidR="00111E81" w:rsidRPr="00124AD6" w:rsidRDefault="00111E81" w:rsidP="008B5887">
      <w:pPr>
        <w:jc w:val="center"/>
        <w:rPr>
          <w:b/>
        </w:rPr>
      </w:pPr>
    </w:p>
    <w:p w:rsidR="00111E81" w:rsidRDefault="00111E81" w:rsidP="008B5887">
      <w:pPr>
        <w:jc w:val="center"/>
        <w:rPr>
          <w:b/>
        </w:rPr>
      </w:pPr>
    </w:p>
    <w:p w:rsidR="00C6402E" w:rsidRDefault="00C6402E" w:rsidP="008B5887">
      <w:pPr>
        <w:jc w:val="center"/>
        <w:rPr>
          <w:b/>
        </w:rPr>
      </w:pPr>
    </w:p>
    <w:p w:rsidR="00C6402E" w:rsidRPr="00124AD6" w:rsidRDefault="00C6402E" w:rsidP="008B5887">
      <w:pPr>
        <w:jc w:val="center"/>
        <w:rPr>
          <w:b/>
        </w:rPr>
      </w:pPr>
    </w:p>
    <w:p w:rsidR="00DE6251" w:rsidRPr="00124AD6" w:rsidRDefault="00DE6251" w:rsidP="008B5887">
      <w:pPr>
        <w:jc w:val="center"/>
        <w:rPr>
          <w:b/>
        </w:rPr>
      </w:pPr>
    </w:p>
    <w:p w:rsidR="003F76FF" w:rsidRPr="00124AD6" w:rsidRDefault="009B198F" w:rsidP="00D65111">
      <w:pPr>
        <w:tabs>
          <w:tab w:val="left" w:pos="0"/>
          <w:tab w:val="left" w:pos="9214"/>
        </w:tabs>
        <w:autoSpaceDE w:val="0"/>
        <w:autoSpaceDN w:val="0"/>
        <w:adjustRightInd w:val="0"/>
        <w:ind w:firstLine="567"/>
        <w:jc w:val="center"/>
      </w:pPr>
      <w:r w:rsidRPr="00124AD6">
        <w:t>CONTENIDO</w:t>
      </w:r>
    </w:p>
    <w:sdt>
      <w:sdtPr>
        <w:rPr>
          <w:rFonts w:ascii="Times New Roman" w:eastAsia="Times New Roman" w:hAnsi="Times New Roman" w:cs="Times New Roman"/>
          <w:b w:val="0"/>
          <w:bCs w:val="0"/>
          <w:color w:val="auto"/>
          <w:sz w:val="24"/>
          <w:szCs w:val="24"/>
          <w:lang w:val="es-ES" w:eastAsia="es-ES"/>
        </w:rPr>
        <w:id w:val="504640332"/>
        <w:docPartObj>
          <w:docPartGallery w:val="Table of Contents"/>
          <w:docPartUnique/>
        </w:docPartObj>
      </w:sdtPr>
      <w:sdtEndPr/>
      <w:sdtContent>
        <w:p w:rsidR="009C2D46" w:rsidRPr="00F161D7" w:rsidRDefault="009C2D46" w:rsidP="003F76FF">
          <w:pPr>
            <w:pStyle w:val="TtulodeTDC"/>
            <w:jc w:val="center"/>
            <w:rPr>
              <w:rFonts w:ascii="Times New Roman" w:hAnsi="Times New Roman" w:cs="Times New Roman"/>
              <w:b w:val="0"/>
              <w:sz w:val="24"/>
              <w:szCs w:val="24"/>
            </w:rPr>
          </w:pPr>
        </w:p>
        <w:p w:rsidR="00E44DA6" w:rsidRDefault="00782AE7" w:rsidP="00E44DA6">
          <w:pPr>
            <w:pStyle w:val="TDC1"/>
            <w:rPr>
              <w:rFonts w:asciiTheme="minorHAnsi" w:eastAsiaTheme="minorEastAsia" w:hAnsiTheme="minorHAnsi" w:cstheme="minorBidi"/>
              <w:noProof/>
              <w:sz w:val="22"/>
              <w:szCs w:val="22"/>
              <w:lang w:val="es-GT" w:eastAsia="es-GT"/>
            </w:rPr>
          </w:pPr>
          <w:r w:rsidRPr="00F161D7">
            <w:fldChar w:fldCharType="begin"/>
          </w:r>
          <w:r w:rsidR="009C2D46" w:rsidRPr="00F161D7">
            <w:instrText xml:space="preserve"> TOC \o "1-3" \h \z \u </w:instrText>
          </w:r>
          <w:r w:rsidRPr="00F161D7">
            <w:fldChar w:fldCharType="separate"/>
          </w:r>
          <w:hyperlink w:anchor="_Toc32829783" w:history="1">
            <w:r w:rsidR="00E44DA6" w:rsidRPr="00946783">
              <w:rPr>
                <w:rStyle w:val="Hipervnculo"/>
                <w:noProof/>
                <w:lang w:val="es-MX"/>
              </w:rPr>
              <w:t>I.</w:t>
            </w:r>
            <w:r w:rsidR="00E44DA6">
              <w:rPr>
                <w:rFonts w:asciiTheme="minorHAnsi" w:eastAsiaTheme="minorEastAsia" w:hAnsiTheme="minorHAnsi" w:cstheme="minorBidi"/>
                <w:noProof/>
                <w:sz w:val="22"/>
                <w:szCs w:val="22"/>
                <w:lang w:val="es-GT" w:eastAsia="es-GT"/>
              </w:rPr>
              <w:tab/>
            </w:r>
            <w:r w:rsidR="00E44DA6" w:rsidRPr="00946783">
              <w:rPr>
                <w:rStyle w:val="Hipervnculo"/>
                <w:noProof/>
                <w:lang w:val="es-MX"/>
              </w:rPr>
              <w:t>Entorno Macroeconómico Internacional</w:t>
            </w:r>
            <w:r w:rsidR="00E44DA6">
              <w:rPr>
                <w:noProof/>
                <w:webHidden/>
              </w:rPr>
              <w:tab/>
            </w:r>
            <w:r w:rsidR="00E44DA6">
              <w:rPr>
                <w:noProof/>
                <w:webHidden/>
              </w:rPr>
              <w:fldChar w:fldCharType="begin"/>
            </w:r>
            <w:r w:rsidR="00E44DA6">
              <w:rPr>
                <w:noProof/>
                <w:webHidden/>
              </w:rPr>
              <w:instrText xml:space="preserve"> PAGEREF _Toc32829783 \h </w:instrText>
            </w:r>
            <w:r w:rsidR="00E44DA6">
              <w:rPr>
                <w:noProof/>
                <w:webHidden/>
              </w:rPr>
            </w:r>
            <w:r w:rsidR="00E44DA6">
              <w:rPr>
                <w:noProof/>
                <w:webHidden/>
              </w:rPr>
              <w:fldChar w:fldCharType="separate"/>
            </w:r>
            <w:r w:rsidR="00911A1C">
              <w:rPr>
                <w:noProof/>
                <w:webHidden/>
              </w:rPr>
              <w:t>3</w:t>
            </w:r>
            <w:r w:rsidR="00E44DA6">
              <w:rPr>
                <w:noProof/>
                <w:webHidden/>
              </w:rPr>
              <w:fldChar w:fldCharType="end"/>
            </w:r>
          </w:hyperlink>
        </w:p>
        <w:p w:rsidR="00E44DA6" w:rsidRDefault="007D4988" w:rsidP="00E44DA6">
          <w:pPr>
            <w:pStyle w:val="TDC1"/>
            <w:rPr>
              <w:rFonts w:asciiTheme="minorHAnsi" w:eastAsiaTheme="minorEastAsia" w:hAnsiTheme="minorHAnsi" w:cstheme="minorBidi"/>
              <w:noProof/>
              <w:sz w:val="22"/>
              <w:szCs w:val="22"/>
              <w:lang w:val="es-GT" w:eastAsia="es-GT"/>
            </w:rPr>
          </w:pPr>
          <w:hyperlink w:anchor="_Toc32829784" w:history="1">
            <w:r w:rsidR="00E44DA6" w:rsidRPr="00946783">
              <w:rPr>
                <w:rStyle w:val="Hipervnculo"/>
                <w:noProof/>
                <w:lang w:val="es-MX"/>
              </w:rPr>
              <w:t>II.</w:t>
            </w:r>
            <w:r w:rsidR="00E44DA6">
              <w:rPr>
                <w:rFonts w:asciiTheme="minorHAnsi" w:eastAsiaTheme="minorEastAsia" w:hAnsiTheme="minorHAnsi" w:cstheme="minorBidi"/>
                <w:noProof/>
                <w:sz w:val="22"/>
                <w:szCs w:val="22"/>
                <w:lang w:val="es-GT" w:eastAsia="es-GT"/>
              </w:rPr>
              <w:tab/>
            </w:r>
            <w:r w:rsidR="00E44DA6" w:rsidRPr="00946783">
              <w:rPr>
                <w:rStyle w:val="Hipervnculo"/>
                <w:noProof/>
                <w:lang w:val="es-MX"/>
              </w:rPr>
              <w:t>Perspectivas Económicas</w:t>
            </w:r>
            <w:r w:rsidR="00E44DA6">
              <w:rPr>
                <w:noProof/>
                <w:webHidden/>
              </w:rPr>
              <w:tab/>
            </w:r>
            <w:r w:rsidR="00E44DA6">
              <w:rPr>
                <w:noProof/>
                <w:webHidden/>
              </w:rPr>
              <w:fldChar w:fldCharType="begin"/>
            </w:r>
            <w:r w:rsidR="00E44DA6">
              <w:rPr>
                <w:noProof/>
                <w:webHidden/>
              </w:rPr>
              <w:instrText xml:space="preserve"> PAGEREF _Toc32829784 \h </w:instrText>
            </w:r>
            <w:r w:rsidR="00E44DA6">
              <w:rPr>
                <w:noProof/>
                <w:webHidden/>
              </w:rPr>
            </w:r>
            <w:r w:rsidR="00E44DA6">
              <w:rPr>
                <w:noProof/>
                <w:webHidden/>
              </w:rPr>
              <w:fldChar w:fldCharType="separate"/>
            </w:r>
            <w:r w:rsidR="00911A1C">
              <w:rPr>
                <w:noProof/>
                <w:webHidden/>
              </w:rPr>
              <w:t>4</w:t>
            </w:r>
            <w:r w:rsidR="00E44DA6">
              <w:rPr>
                <w:noProof/>
                <w:webHidden/>
              </w:rPr>
              <w:fldChar w:fldCharType="end"/>
            </w:r>
          </w:hyperlink>
        </w:p>
        <w:p w:rsidR="00E44DA6" w:rsidRDefault="007D4988" w:rsidP="00E44DA6">
          <w:pPr>
            <w:pStyle w:val="TDC1"/>
            <w:rPr>
              <w:rFonts w:asciiTheme="minorHAnsi" w:eastAsiaTheme="minorEastAsia" w:hAnsiTheme="minorHAnsi" w:cstheme="minorBidi"/>
              <w:noProof/>
              <w:sz w:val="22"/>
              <w:szCs w:val="22"/>
              <w:lang w:val="es-GT" w:eastAsia="es-GT"/>
            </w:rPr>
          </w:pPr>
          <w:hyperlink w:anchor="_Toc32829785" w:history="1">
            <w:r w:rsidR="00E44DA6" w:rsidRPr="00946783">
              <w:rPr>
                <w:rStyle w:val="Hipervnculo"/>
                <w:noProof/>
                <w:lang w:val="es-MX"/>
              </w:rPr>
              <w:t>III.</w:t>
            </w:r>
            <w:r w:rsidR="00E44DA6">
              <w:rPr>
                <w:rFonts w:asciiTheme="minorHAnsi" w:eastAsiaTheme="minorEastAsia" w:hAnsiTheme="minorHAnsi" w:cstheme="minorBidi"/>
                <w:noProof/>
                <w:sz w:val="22"/>
                <w:szCs w:val="22"/>
                <w:lang w:val="es-GT" w:eastAsia="es-GT"/>
              </w:rPr>
              <w:tab/>
            </w:r>
            <w:r w:rsidR="00E44DA6" w:rsidRPr="00946783">
              <w:rPr>
                <w:rStyle w:val="Hipervnculo"/>
                <w:noProof/>
                <w:lang w:val="es-MX"/>
              </w:rPr>
              <w:t>Entorno Macroeconómico Nacional</w:t>
            </w:r>
            <w:r w:rsidR="00E44DA6">
              <w:rPr>
                <w:noProof/>
                <w:webHidden/>
              </w:rPr>
              <w:tab/>
            </w:r>
            <w:r w:rsidR="00E44DA6">
              <w:rPr>
                <w:noProof/>
                <w:webHidden/>
              </w:rPr>
              <w:fldChar w:fldCharType="begin"/>
            </w:r>
            <w:r w:rsidR="00E44DA6">
              <w:rPr>
                <w:noProof/>
                <w:webHidden/>
              </w:rPr>
              <w:instrText xml:space="preserve"> PAGEREF _Toc32829785 \h </w:instrText>
            </w:r>
            <w:r w:rsidR="00E44DA6">
              <w:rPr>
                <w:noProof/>
                <w:webHidden/>
              </w:rPr>
            </w:r>
            <w:r w:rsidR="00E44DA6">
              <w:rPr>
                <w:noProof/>
                <w:webHidden/>
              </w:rPr>
              <w:fldChar w:fldCharType="separate"/>
            </w:r>
            <w:r w:rsidR="00911A1C">
              <w:rPr>
                <w:noProof/>
                <w:webHidden/>
              </w:rPr>
              <w:t>6</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786" w:history="1">
            <w:r w:rsidR="00E44DA6" w:rsidRPr="00946783">
              <w:rPr>
                <w:rStyle w:val="Hipervnculo"/>
                <w:noProof/>
              </w:rPr>
              <w:t>A.</w:t>
            </w:r>
            <w:r w:rsidR="00E44DA6">
              <w:rPr>
                <w:rFonts w:asciiTheme="minorHAnsi" w:eastAsiaTheme="minorEastAsia" w:hAnsiTheme="minorHAnsi" w:cstheme="minorBidi"/>
                <w:noProof/>
                <w:sz w:val="22"/>
                <w:szCs w:val="22"/>
                <w:lang w:val="es-GT" w:eastAsia="es-GT"/>
              </w:rPr>
              <w:tab/>
            </w:r>
            <w:r w:rsidR="00E44DA6" w:rsidRPr="00946783">
              <w:rPr>
                <w:rStyle w:val="Hipervnculo"/>
                <w:noProof/>
                <w:shd w:val="clear" w:color="auto" w:fill="FFFFFF"/>
              </w:rPr>
              <w:t>Decisiones de Política Monetaria</w:t>
            </w:r>
            <w:r w:rsidR="00E44DA6">
              <w:rPr>
                <w:noProof/>
                <w:webHidden/>
              </w:rPr>
              <w:tab/>
            </w:r>
            <w:r w:rsidR="00E44DA6">
              <w:rPr>
                <w:noProof/>
                <w:webHidden/>
              </w:rPr>
              <w:fldChar w:fldCharType="begin"/>
            </w:r>
            <w:r w:rsidR="00E44DA6">
              <w:rPr>
                <w:noProof/>
                <w:webHidden/>
              </w:rPr>
              <w:instrText xml:space="preserve"> PAGEREF _Toc32829786 \h </w:instrText>
            </w:r>
            <w:r w:rsidR="00E44DA6">
              <w:rPr>
                <w:noProof/>
                <w:webHidden/>
              </w:rPr>
            </w:r>
            <w:r w:rsidR="00E44DA6">
              <w:rPr>
                <w:noProof/>
                <w:webHidden/>
              </w:rPr>
              <w:fldChar w:fldCharType="separate"/>
            </w:r>
            <w:r w:rsidR="00911A1C">
              <w:rPr>
                <w:noProof/>
                <w:webHidden/>
              </w:rPr>
              <w:t>11</w:t>
            </w:r>
            <w:r w:rsidR="00E44DA6">
              <w:rPr>
                <w:noProof/>
                <w:webHidden/>
              </w:rPr>
              <w:fldChar w:fldCharType="end"/>
            </w:r>
          </w:hyperlink>
        </w:p>
        <w:p w:rsidR="00E44DA6" w:rsidRDefault="007D4988" w:rsidP="00E44DA6">
          <w:pPr>
            <w:pStyle w:val="TDC1"/>
            <w:rPr>
              <w:rFonts w:asciiTheme="minorHAnsi" w:eastAsiaTheme="minorEastAsia" w:hAnsiTheme="minorHAnsi" w:cstheme="minorBidi"/>
              <w:noProof/>
              <w:sz w:val="22"/>
              <w:szCs w:val="22"/>
              <w:lang w:val="es-GT" w:eastAsia="es-GT"/>
            </w:rPr>
          </w:pPr>
          <w:hyperlink w:anchor="_Toc32829787" w:history="1">
            <w:r w:rsidR="00E44DA6" w:rsidRPr="00946783">
              <w:rPr>
                <w:rStyle w:val="Hipervnculo"/>
                <w:noProof/>
                <w:lang w:val="es-MX"/>
              </w:rPr>
              <w:t>IV.</w:t>
            </w:r>
            <w:r w:rsidR="00E44DA6">
              <w:rPr>
                <w:rFonts w:asciiTheme="minorHAnsi" w:eastAsiaTheme="minorEastAsia" w:hAnsiTheme="minorHAnsi" w:cstheme="minorBidi"/>
                <w:noProof/>
                <w:sz w:val="22"/>
                <w:szCs w:val="22"/>
                <w:lang w:val="es-GT" w:eastAsia="es-GT"/>
              </w:rPr>
              <w:tab/>
            </w:r>
            <w:r w:rsidR="00E44DA6" w:rsidRPr="00946783">
              <w:rPr>
                <w:rStyle w:val="Hipervnculo"/>
                <w:noProof/>
                <w:lang w:val="es-MX"/>
              </w:rPr>
              <w:t>Política Fiscal en Guatemala</w:t>
            </w:r>
            <w:r w:rsidR="00E44DA6">
              <w:rPr>
                <w:noProof/>
                <w:webHidden/>
              </w:rPr>
              <w:tab/>
            </w:r>
            <w:r w:rsidR="00E44DA6">
              <w:rPr>
                <w:noProof/>
                <w:webHidden/>
              </w:rPr>
              <w:fldChar w:fldCharType="begin"/>
            </w:r>
            <w:r w:rsidR="00E44DA6">
              <w:rPr>
                <w:noProof/>
                <w:webHidden/>
              </w:rPr>
              <w:instrText xml:space="preserve"> PAGEREF _Toc32829787 \h </w:instrText>
            </w:r>
            <w:r w:rsidR="00E44DA6">
              <w:rPr>
                <w:noProof/>
                <w:webHidden/>
              </w:rPr>
            </w:r>
            <w:r w:rsidR="00E44DA6">
              <w:rPr>
                <w:noProof/>
                <w:webHidden/>
              </w:rPr>
              <w:fldChar w:fldCharType="separate"/>
            </w:r>
            <w:r w:rsidR="00911A1C">
              <w:rPr>
                <w:noProof/>
                <w:webHidden/>
              </w:rPr>
              <w:t>14</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788" w:history="1">
            <w:r w:rsidR="00E44DA6" w:rsidRPr="00946783">
              <w:rPr>
                <w:rStyle w:val="Hipervnculo"/>
                <w:noProof/>
              </w:rPr>
              <w:t>A.</w:t>
            </w:r>
            <w:r w:rsidR="00E44DA6">
              <w:rPr>
                <w:rFonts w:asciiTheme="minorHAnsi" w:eastAsiaTheme="minorEastAsia" w:hAnsiTheme="minorHAnsi" w:cstheme="minorBidi"/>
                <w:noProof/>
                <w:sz w:val="22"/>
                <w:szCs w:val="22"/>
                <w:lang w:val="es-GT" w:eastAsia="es-GT"/>
              </w:rPr>
              <w:tab/>
            </w:r>
            <w:r w:rsidR="00E44DA6" w:rsidRPr="00946783">
              <w:rPr>
                <w:rStyle w:val="Hipervnculo"/>
                <w:noProof/>
              </w:rPr>
              <w:t>Ingresos Fiscales</w:t>
            </w:r>
            <w:r w:rsidR="00E44DA6">
              <w:rPr>
                <w:noProof/>
                <w:webHidden/>
              </w:rPr>
              <w:tab/>
            </w:r>
            <w:r w:rsidR="00E44DA6">
              <w:rPr>
                <w:noProof/>
                <w:webHidden/>
              </w:rPr>
              <w:fldChar w:fldCharType="begin"/>
            </w:r>
            <w:r w:rsidR="00E44DA6">
              <w:rPr>
                <w:noProof/>
                <w:webHidden/>
              </w:rPr>
              <w:instrText xml:space="preserve"> PAGEREF _Toc32829788 \h </w:instrText>
            </w:r>
            <w:r w:rsidR="00E44DA6">
              <w:rPr>
                <w:noProof/>
                <w:webHidden/>
              </w:rPr>
            </w:r>
            <w:r w:rsidR="00E44DA6">
              <w:rPr>
                <w:noProof/>
                <w:webHidden/>
              </w:rPr>
              <w:fldChar w:fldCharType="separate"/>
            </w:r>
            <w:r w:rsidR="00911A1C">
              <w:rPr>
                <w:noProof/>
                <w:webHidden/>
              </w:rPr>
              <w:t>16</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789" w:history="1">
            <w:r w:rsidR="00E44DA6" w:rsidRPr="00946783">
              <w:rPr>
                <w:rStyle w:val="Hipervnculo"/>
                <w:noProof/>
              </w:rPr>
              <w:t>B.</w:t>
            </w:r>
            <w:r w:rsidR="00E44DA6">
              <w:rPr>
                <w:rFonts w:asciiTheme="minorHAnsi" w:eastAsiaTheme="minorEastAsia" w:hAnsiTheme="minorHAnsi" w:cstheme="minorBidi"/>
                <w:noProof/>
                <w:sz w:val="22"/>
                <w:szCs w:val="22"/>
                <w:lang w:val="es-GT" w:eastAsia="es-GT"/>
              </w:rPr>
              <w:tab/>
            </w:r>
            <w:r w:rsidR="00E44DA6" w:rsidRPr="00946783">
              <w:rPr>
                <w:rStyle w:val="Hipervnculo"/>
                <w:noProof/>
              </w:rPr>
              <w:t>Deuda Pública</w:t>
            </w:r>
            <w:r w:rsidR="00E44DA6">
              <w:rPr>
                <w:noProof/>
                <w:webHidden/>
              </w:rPr>
              <w:tab/>
            </w:r>
            <w:r w:rsidR="00E44DA6">
              <w:rPr>
                <w:noProof/>
                <w:webHidden/>
              </w:rPr>
              <w:fldChar w:fldCharType="begin"/>
            </w:r>
            <w:r w:rsidR="00E44DA6">
              <w:rPr>
                <w:noProof/>
                <w:webHidden/>
              </w:rPr>
              <w:instrText xml:space="preserve"> PAGEREF _Toc32829789 \h </w:instrText>
            </w:r>
            <w:r w:rsidR="00E44DA6">
              <w:rPr>
                <w:noProof/>
                <w:webHidden/>
              </w:rPr>
            </w:r>
            <w:r w:rsidR="00E44DA6">
              <w:rPr>
                <w:noProof/>
                <w:webHidden/>
              </w:rPr>
              <w:fldChar w:fldCharType="separate"/>
            </w:r>
            <w:r w:rsidR="00911A1C">
              <w:rPr>
                <w:noProof/>
                <w:webHidden/>
              </w:rPr>
              <w:t>19</w:t>
            </w:r>
            <w:r w:rsidR="00E44DA6">
              <w:rPr>
                <w:noProof/>
                <w:webHidden/>
              </w:rPr>
              <w:fldChar w:fldCharType="end"/>
            </w:r>
          </w:hyperlink>
        </w:p>
        <w:p w:rsidR="00E44DA6" w:rsidRDefault="007D4988" w:rsidP="00E44DA6">
          <w:pPr>
            <w:pStyle w:val="TDC3"/>
            <w:tabs>
              <w:tab w:val="left" w:pos="1100"/>
              <w:tab w:val="right" w:leader="dot" w:pos="9346"/>
            </w:tabs>
            <w:jc w:val="right"/>
            <w:rPr>
              <w:rFonts w:asciiTheme="minorHAnsi" w:eastAsiaTheme="minorEastAsia" w:hAnsiTheme="minorHAnsi" w:cstheme="minorBidi"/>
              <w:noProof/>
              <w:sz w:val="22"/>
              <w:szCs w:val="22"/>
              <w:lang w:val="es-GT" w:eastAsia="es-GT"/>
            </w:rPr>
          </w:pPr>
          <w:hyperlink w:anchor="_Toc32829790" w:history="1">
            <w:r w:rsidR="00E44DA6" w:rsidRPr="00946783">
              <w:rPr>
                <w:rStyle w:val="Hipervnculo"/>
                <w:noProof/>
              </w:rPr>
              <w:t>1.</w:t>
            </w:r>
            <w:r w:rsidR="00E44DA6">
              <w:rPr>
                <w:rFonts w:asciiTheme="minorHAnsi" w:eastAsiaTheme="minorEastAsia" w:hAnsiTheme="minorHAnsi" w:cstheme="minorBidi"/>
                <w:noProof/>
                <w:sz w:val="22"/>
                <w:szCs w:val="22"/>
                <w:lang w:val="es-GT" w:eastAsia="es-GT"/>
              </w:rPr>
              <w:tab/>
            </w:r>
            <w:r w:rsidR="00E44DA6" w:rsidRPr="00946783">
              <w:rPr>
                <w:rStyle w:val="Hipervnculo"/>
                <w:noProof/>
              </w:rPr>
              <w:t>Indicadores de la Deuda Pública</w:t>
            </w:r>
            <w:r w:rsidR="00E44DA6">
              <w:rPr>
                <w:noProof/>
                <w:webHidden/>
              </w:rPr>
              <w:tab/>
            </w:r>
            <w:r w:rsidR="00E44DA6">
              <w:rPr>
                <w:noProof/>
                <w:webHidden/>
              </w:rPr>
              <w:fldChar w:fldCharType="begin"/>
            </w:r>
            <w:r w:rsidR="00E44DA6">
              <w:rPr>
                <w:noProof/>
                <w:webHidden/>
              </w:rPr>
              <w:instrText xml:space="preserve"> PAGEREF _Toc32829790 \h </w:instrText>
            </w:r>
            <w:r w:rsidR="00E44DA6">
              <w:rPr>
                <w:noProof/>
                <w:webHidden/>
              </w:rPr>
            </w:r>
            <w:r w:rsidR="00E44DA6">
              <w:rPr>
                <w:noProof/>
                <w:webHidden/>
              </w:rPr>
              <w:fldChar w:fldCharType="separate"/>
            </w:r>
            <w:r w:rsidR="00911A1C">
              <w:rPr>
                <w:noProof/>
                <w:webHidden/>
              </w:rPr>
              <w:t>20</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791" w:history="1">
            <w:r w:rsidR="00E44DA6" w:rsidRPr="00946783">
              <w:rPr>
                <w:rStyle w:val="Hipervnculo"/>
                <w:noProof/>
              </w:rPr>
              <w:t>C.</w:t>
            </w:r>
            <w:r w:rsidR="00E44DA6">
              <w:rPr>
                <w:rFonts w:asciiTheme="minorHAnsi" w:eastAsiaTheme="minorEastAsia" w:hAnsiTheme="minorHAnsi" w:cstheme="minorBidi"/>
                <w:noProof/>
                <w:sz w:val="22"/>
                <w:szCs w:val="22"/>
                <w:lang w:val="es-GT" w:eastAsia="es-GT"/>
              </w:rPr>
              <w:tab/>
            </w:r>
            <w:r w:rsidR="00E44DA6" w:rsidRPr="00946783">
              <w:rPr>
                <w:rStyle w:val="Hipervnculo"/>
                <w:noProof/>
              </w:rPr>
              <w:t>Ejecución del Gasto Público</w:t>
            </w:r>
            <w:r w:rsidR="00E44DA6">
              <w:rPr>
                <w:noProof/>
                <w:webHidden/>
              </w:rPr>
              <w:tab/>
            </w:r>
            <w:r w:rsidR="00E44DA6">
              <w:rPr>
                <w:noProof/>
                <w:webHidden/>
              </w:rPr>
              <w:fldChar w:fldCharType="begin"/>
            </w:r>
            <w:r w:rsidR="00E44DA6">
              <w:rPr>
                <w:noProof/>
                <w:webHidden/>
              </w:rPr>
              <w:instrText xml:space="preserve"> PAGEREF _Toc32829791 \h </w:instrText>
            </w:r>
            <w:r w:rsidR="00E44DA6">
              <w:rPr>
                <w:noProof/>
                <w:webHidden/>
              </w:rPr>
            </w:r>
            <w:r w:rsidR="00E44DA6">
              <w:rPr>
                <w:noProof/>
                <w:webHidden/>
              </w:rPr>
              <w:fldChar w:fldCharType="separate"/>
            </w:r>
            <w:r w:rsidR="00911A1C">
              <w:rPr>
                <w:noProof/>
                <w:webHidden/>
              </w:rPr>
              <w:t>23</w:t>
            </w:r>
            <w:r w:rsidR="00E44DA6">
              <w:rPr>
                <w:noProof/>
                <w:webHidden/>
              </w:rPr>
              <w:fldChar w:fldCharType="end"/>
            </w:r>
          </w:hyperlink>
        </w:p>
        <w:p w:rsidR="00E44DA6" w:rsidRDefault="007D4988" w:rsidP="00E44DA6">
          <w:pPr>
            <w:pStyle w:val="TDC3"/>
            <w:tabs>
              <w:tab w:val="left" w:pos="1100"/>
              <w:tab w:val="right" w:leader="dot" w:pos="9346"/>
            </w:tabs>
            <w:jc w:val="right"/>
            <w:rPr>
              <w:rFonts w:asciiTheme="minorHAnsi" w:eastAsiaTheme="minorEastAsia" w:hAnsiTheme="minorHAnsi" w:cstheme="minorBidi"/>
              <w:noProof/>
              <w:sz w:val="22"/>
              <w:szCs w:val="22"/>
              <w:lang w:val="es-GT" w:eastAsia="es-GT"/>
            </w:rPr>
          </w:pPr>
          <w:hyperlink w:anchor="_Toc32829792" w:history="1">
            <w:r w:rsidR="00E44DA6" w:rsidRPr="00946783">
              <w:rPr>
                <w:rStyle w:val="Hipervnculo"/>
                <w:noProof/>
              </w:rPr>
              <w:t>1.</w:t>
            </w:r>
            <w:r w:rsidR="00E44DA6">
              <w:rPr>
                <w:rFonts w:asciiTheme="minorHAnsi" w:eastAsiaTheme="minorEastAsia" w:hAnsiTheme="minorHAnsi" w:cstheme="minorBidi"/>
                <w:noProof/>
                <w:sz w:val="22"/>
                <w:szCs w:val="22"/>
                <w:lang w:val="es-GT" w:eastAsia="es-GT"/>
              </w:rPr>
              <w:tab/>
            </w:r>
            <w:r w:rsidR="00E44DA6" w:rsidRPr="00946783">
              <w:rPr>
                <w:rStyle w:val="Hipervnculo"/>
                <w:noProof/>
              </w:rPr>
              <w:t>Gasto Social y Acuerdos de Paz</w:t>
            </w:r>
            <w:r w:rsidR="00E44DA6">
              <w:rPr>
                <w:noProof/>
                <w:webHidden/>
              </w:rPr>
              <w:tab/>
            </w:r>
            <w:r w:rsidR="00E44DA6">
              <w:rPr>
                <w:noProof/>
                <w:webHidden/>
              </w:rPr>
              <w:fldChar w:fldCharType="begin"/>
            </w:r>
            <w:r w:rsidR="00E44DA6">
              <w:rPr>
                <w:noProof/>
                <w:webHidden/>
              </w:rPr>
              <w:instrText xml:space="preserve"> PAGEREF _Toc32829792 \h </w:instrText>
            </w:r>
            <w:r w:rsidR="00E44DA6">
              <w:rPr>
                <w:noProof/>
                <w:webHidden/>
              </w:rPr>
            </w:r>
            <w:r w:rsidR="00E44DA6">
              <w:rPr>
                <w:noProof/>
                <w:webHidden/>
              </w:rPr>
              <w:fldChar w:fldCharType="separate"/>
            </w:r>
            <w:r w:rsidR="00911A1C">
              <w:rPr>
                <w:noProof/>
                <w:webHidden/>
              </w:rPr>
              <w:t>25</w:t>
            </w:r>
            <w:r w:rsidR="00E44DA6">
              <w:rPr>
                <w:noProof/>
                <w:webHidden/>
              </w:rPr>
              <w:fldChar w:fldCharType="end"/>
            </w:r>
          </w:hyperlink>
        </w:p>
        <w:p w:rsidR="00E44DA6" w:rsidRDefault="007D4988" w:rsidP="00E44DA6">
          <w:pPr>
            <w:pStyle w:val="TDC3"/>
            <w:tabs>
              <w:tab w:val="left" w:pos="1100"/>
              <w:tab w:val="right" w:leader="dot" w:pos="9346"/>
            </w:tabs>
            <w:jc w:val="right"/>
            <w:rPr>
              <w:rFonts w:asciiTheme="minorHAnsi" w:eastAsiaTheme="minorEastAsia" w:hAnsiTheme="minorHAnsi" w:cstheme="minorBidi"/>
              <w:noProof/>
              <w:sz w:val="22"/>
              <w:szCs w:val="22"/>
              <w:lang w:val="es-GT" w:eastAsia="es-GT"/>
            </w:rPr>
          </w:pPr>
          <w:hyperlink w:anchor="_Toc32829793" w:history="1">
            <w:r w:rsidR="00E44DA6" w:rsidRPr="00946783">
              <w:rPr>
                <w:rStyle w:val="Hipervnculo"/>
                <w:noProof/>
              </w:rPr>
              <w:t>2.</w:t>
            </w:r>
            <w:r w:rsidR="00E44DA6">
              <w:rPr>
                <w:rFonts w:asciiTheme="minorHAnsi" w:eastAsiaTheme="minorEastAsia" w:hAnsiTheme="minorHAnsi" w:cstheme="minorBidi"/>
                <w:noProof/>
                <w:sz w:val="22"/>
                <w:szCs w:val="22"/>
                <w:lang w:val="es-GT" w:eastAsia="es-GT"/>
              </w:rPr>
              <w:tab/>
            </w:r>
            <w:r w:rsidR="00E44DA6" w:rsidRPr="00946783">
              <w:rPr>
                <w:rStyle w:val="Hipervnculo"/>
                <w:noProof/>
                <w:lang w:val="es-MX"/>
              </w:rPr>
              <w:t>Ejecución</w:t>
            </w:r>
            <w:r w:rsidR="00E44DA6" w:rsidRPr="00946783">
              <w:rPr>
                <w:rStyle w:val="Hipervnculo"/>
                <w:noProof/>
              </w:rPr>
              <w:t xml:space="preserve"> de los Fideicomisos p</w:t>
            </w:r>
            <w:r w:rsidR="00E44DA6" w:rsidRPr="00946783">
              <w:rPr>
                <w:rStyle w:val="Hipervnculo"/>
                <w:noProof/>
                <w:lang w:val="es-MX"/>
              </w:rPr>
              <w:t>ara</w:t>
            </w:r>
            <w:r w:rsidR="00E44DA6" w:rsidRPr="00946783">
              <w:rPr>
                <w:rStyle w:val="Hipervnculo"/>
                <w:noProof/>
              </w:rPr>
              <w:t xml:space="preserve"> Programas de Protección Social</w:t>
            </w:r>
            <w:r w:rsidR="00E44DA6">
              <w:rPr>
                <w:noProof/>
                <w:webHidden/>
              </w:rPr>
              <w:tab/>
            </w:r>
            <w:r w:rsidR="00E44DA6">
              <w:rPr>
                <w:noProof/>
                <w:webHidden/>
              </w:rPr>
              <w:fldChar w:fldCharType="begin"/>
            </w:r>
            <w:r w:rsidR="00E44DA6">
              <w:rPr>
                <w:noProof/>
                <w:webHidden/>
              </w:rPr>
              <w:instrText xml:space="preserve"> PAGEREF _Toc32829793 \h </w:instrText>
            </w:r>
            <w:r w:rsidR="00E44DA6">
              <w:rPr>
                <w:noProof/>
                <w:webHidden/>
              </w:rPr>
            </w:r>
            <w:r w:rsidR="00E44DA6">
              <w:rPr>
                <w:noProof/>
                <w:webHidden/>
              </w:rPr>
              <w:fldChar w:fldCharType="separate"/>
            </w:r>
            <w:r w:rsidR="00911A1C">
              <w:rPr>
                <w:noProof/>
                <w:webHidden/>
              </w:rPr>
              <w:t>26</w:t>
            </w:r>
            <w:r w:rsidR="00E44DA6">
              <w:rPr>
                <w:noProof/>
                <w:webHidden/>
              </w:rPr>
              <w:fldChar w:fldCharType="end"/>
            </w:r>
          </w:hyperlink>
        </w:p>
        <w:p w:rsidR="00E44DA6" w:rsidRDefault="007D4988" w:rsidP="00E44DA6">
          <w:pPr>
            <w:pStyle w:val="TDC3"/>
            <w:tabs>
              <w:tab w:val="left" w:pos="1100"/>
              <w:tab w:val="right" w:leader="dot" w:pos="9346"/>
            </w:tabs>
            <w:jc w:val="right"/>
            <w:rPr>
              <w:rFonts w:asciiTheme="minorHAnsi" w:eastAsiaTheme="minorEastAsia" w:hAnsiTheme="minorHAnsi" w:cstheme="minorBidi"/>
              <w:noProof/>
              <w:sz w:val="22"/>
              <w:szCs w:val="22"/>
              <w:lang w:val="es-GT" w:eastAsia="es-GT"/>
            </w:rPr>
          </w:pPr>
          <w:hyperlink w:anchor="_Toc32829794" w:history="1">
            <w:r w:rsidR="00E44DA6" w:rsidRPr="00946783">
              <w:rPr>
                <w:rStyle w:val="Hipervnculo"/>
                <w:noProof/>
                <w:lang w:val="es-MX"/>
              </w:rPr>
              <w:t>3.</w:t>
            </w:r>
            <w:r w:rsidR="00E44DA6">
              <w:rPr>
                <w:rFonts w:asciiTheme="minorHAnsi" w:eastAsiaTheme="minorEastAsia" w:hAnsiTheme="minorHAnsi" w:cstheme="minorBidi"/>
                <w:noProof/>
                <w:sz w:val="22"/>
                <w:szCs w:val="22"/>
                <w:lang w:val="es-GT" w:eastAsia="es-GT"/>
              </w:rPr>
              <w:tab/>
            </w:r>
            <w:r w:rsidR="00E44DA6" w:rsidRPr="00946783">
              <w:rPr>
                <w:rStyle w:val="Hipervnculo"/>
                <w:noProof/>
              </w:rPr>
              <w:t>Gasto Público Ejecutado a través de ONG</w:t>
            </w:r>
            <w:r w:rsidR="00E44DA6">
              <w:rPr>
                <w:noProof/>
                <w:webHidden/>
              </w:rPr>
              <w:tab/>
            </w:r>
            <w:r w:rsidR="00E44DA6">
              <w:rPr>
                <w:noProof/>
                <w:webHidden/>
              </w:rPr>
              <w:fldChar w:fldCharType="begin"/>
            </w:r>
            <w:r w:rsidR="00E44DA6">
              <w:rPr>
                <w:noProof/>
                <w:webHidden/>
              </w:rPr>
              <w:instrText xml:space="preserve"> PAGEREF _Toc32829794 \h </w:instrText>
            </w:r>
            <w:r w:rsidR="00E44DA6">
              <w:rPr>
                <w:noProof/>
                <w:webHidden/>
              </w:rPr>
            </w:r>
            <w:r w:rsidR="00E44DA6">
              <w:rPr>
                <w:noProof/>
                <w:webHidden/>
              </w:rPr>
              <w:fldChar w:fldCharType="separate"/>
            </w:r>
            <w:r w:rsidR="00911A1C">
              <w:rPr>
                <w:noProof/>
                <w:webHidden/>
              </w:rPr>
              <w:t>27</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795" w:history="1">
            <w:r w:rsidR="00E44DA6" w:rsidRPr="00946783">
              <w:rPr>
                <w:rStyle w:val="Hipervnculo"/>
                <w:noProof/>
              </w:rPr>
              <w:t>D.</w:t>
            </w:r>
            <w:r w:rsidR="00E44DA6">
              <w:rPr>
                <w:rFonts w:asciiTheme="minorHAnsi" w:eastAsiaTheme="minorEastAsia" w:hAnsiTheme="minorHAnsi" w:cstheme="minorBidi"/>
                <w:noProof/>
                <w:sz w:val="22"/>
                <w:szCs w:val="22"/>
                <w:lang w:val="es-GT" w:eastAsia="es-GT"/>
              </w:rPr>
              <w:tab/>
            </w:r>
            <w:r w:rsidR="00E44DA6" w:rsidRPr="00946783">
              <w:rPr>
                <w:rStyle w:val="Hipervnculo"/>
                <w:noProof/>
              </w:rPr>
              <w:t>Déficit Fiscal Sostenible</w:t>
            </w:r>
            <w:r w:rsidR="00E44DA6">
              <w:rPr>
                <w:noProof/>
                <w:webHidden/>
              </w:rPr>
              <w:tab/>
            </w:r>
            <w:r w:rsidR="00E44DA6">
              <w:rPr>
                <w:noProof/>
                <w:webHidden/>
              </w:rPr>
              <w:fldChar w:fldCharType="begin"/>
            </w:r>
            <w:r w:rsidR="00E44DA6">
              <w:rPr>
                <w:noProof/>
                <w:webHidden/>
              </w:rPr>
              <w:instrText xml:space="preserve"> PAGEREF _Toc32829795 \h </w:instrText>
            </w:r>
            <w:r w:rsidR="00E44DA6">
              <w:rPr>
                <w:noProof/>
                <w:webHidden/>
              </w:rPr>
            </w:r>
            <w:r w:rsidR="00E44DA6">
              <w:rPr>
                <w:noProof/>
                <w:webHidden/>
              </w:rPr>
              <w:fldChar w:fldCharType="separate"/>
            </w:r>
            <w:r w:rsidR="00911A1C">
              <w:rPr>
                <w:noProof/>
                <w:webHidden/>
              </w:rPr>
              <w:t>31</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796" w:history="1">
            <w:r w:rsidR="00E44DA6" w:rsidRPr="00946783">
              <w:rPr>
                <w:rStyle w:val="Hipervnculo"/>
                <w:noProof/>
              </w:rPr>
              <w:t>E.</w:t>
            </w:r>
            <w:r w:rsidR="00E44DA6">
              <w:rPr>
                <w:rFonts w:asciiTheme="minorHAnsi" w:eastAsiaTheme="minorEastAsia" w:hAnsiTheme="minorHAnsi" w:cstheme="minorBidi"/>
                <w:noProof/>
                <w:sz w:val="22"/>
                <w:szCs w:val="22"/>
                <w:lang w:val="es-GT" w:eastAsia="es-GT"/>
              </w:rPr>
              <w:tab/>
            </w:r>
            <w:r w:rsidR="00E44DA6" w:rsidRPr="00946783">
              <w:rPr>
                <w:rStyle w:val="Hipervnculo"/>
                <w:noProof/>
              </w:rPr>
              <w:t>Principales Metas y Resultados</w:t>
            </w:r>
            <w:r w:rsidR="00E44DA6">
              <w:rPr>
                <w:noProof/>
                <w:webHidden/>
              </w:rPr>
              <w:tab/>
            </w:r>
            <w:r w:rsidR="00E44DA6">
              <w:rPr>
                <w:noProof/>
                <w:webHidden/>
              </w:rPr>
              <w:fldChar w:fldCharType="begin"/>
            </w:r>
            <w:r w:rsidR="00E44DA6">
              <w:rPr>
                <w:noProof/>
                <w:webHidden/>
              </w:rPr>
              <w:instrText xml:space="preserve"> PAGEREF _Toc32829796 \h </w:instrText>
            </w:r>
            <w:r w:rsidR="00E44DA6">
              <w:rPr>
                <w:noProof/>
                <w:webHidden/>
              </w:rPr>
            </w:r>
            <w:r w:rsidR="00E44DA6">
              <w:rPr>
                <w:noProof/>
                <w:webHidden/>
              </w:rPr>
              <w:fldChar w:fldCharType="separate"/>
            </w:r>
            <w:r w:rsidR="00911A1C">
              <w:rPr>
                <w:noProof/>
                <w:webHidden/>
              </w:rPr>
              <w:t>35</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797" w:history="1">
            <w:r w:rsidR="00E44DA6" w:rsidRPr="00946783">
              <w:rPr>
                <w:rStyle w:val="Hipervnculo"/>
                <w:noProof/>
              </w:rPr>
              <w:t>F.</w:t>
            </w:r>
            <w:r w:rsidR="00E44DA6">
              <w:rPr>
                <w:rFonts w:asciiTheme="minorHAnsi" w:eastAsiaTheme="minorEastAsia" w:hAnsiTheme="minorHAnsi" w:cstheme="minorBidi"/>
                <w:noProof/>
                <w:sz w:val="22"/>
                <w:szCs w:val="22"/>
                <w:lang w:val="es-GT" w:eastAsia="es-GT"/>
              </w:rPr>
              <w:tab/>
            </w:r>
            <w:r w:rsidR="00E44DA6" w:rsidRPr="00946783">
              <w:rPr>
                <w:rStyle w:val="Hipervnculo"/>
                <w:noProof/>
              </w:rPr>
              <w:t>Fondos Extrapresupuestarios</w:t>
            </w:r>
            <w:r w:rsidR="00E44DA6">
              <w:rPr>
                <w:noProof/>
                <w:webHidden/>
              </w:rPr>
              <w:tab/>
            </w:r>
            <w:r w:rsidR="00E44DA6">
              <w:rPr>
                <w:noProof/>
                <w:webHidden/>
              </w:rPr>
              <w:fldChar w:fldCharType="begin"/>
            </w:r>
            <w:r w:rsidR="00E44DA6">
              <w:rPr>
                <w:noProof/>
                <w:webHidden/>
              </w:rPr>
              <w:instrText xml:space="preserve"> PAGEREF _Toc32829797 \h </w:instrText>
            </w:r>
            <w:r w:rsidR="00E44DA6">
              <w:rPr>
                <w:noProof/>
                <w:webHidden/>
              </w:rPr>
            </w:r>
            <w:r w:rsidR="00E44DA6">
              <w:rPr>
                <w:noProof/>
                <w:webHidden/>
              </w:rPr>
              <w:fldChar w:fldCharType="separate"/>
            </w:r>
            <w:r w:rsidR="00911A1C">
              <w:rPr>
                <w:noProof/>
                <w:webHidden/>
              </w:rPr>
              <w:t>40</w:t>
            </w:r>
            <w:r w:rsidR="00E44DA6">
              <w:rPr>
                <w:noProof/>
                <w:webHidden/>
              </w:rPr>
              <w:fldChar w:fldCharType="end"/>
            </w:r>
          </w:hyperlink>
        </w:p>
        <w:p w:rsidR="00E44DA6" w:rsidRDefault="007D4988" w:rsidP="00E44DA6">
          <w:pPr>
            <w:pStyle w:val="TDC1"/>
            <w:rPr>
              <w:rFonts w:asciiTheme="minorHAnsi" w:eastAsiaTheme="minorEastAsia" w:hAnsiTheme="minorHAnsi" w:cstheme="minorBidi"/>
              <w:noProof/>
              <w:sz w:val="22"/>
              <w:szCs w:val="22"/>
              <w:lang w:val="es-GT" w:eastAsia="es-GT"/>
            </w:rPr>
          </w:pPr>
          <w:hyperlink w:anchor="_Toc32829798" w:history="1">
            <w:r w:rsidR="00E44DA6" w:rsidRPr="00946783">
              <w:rPr>
                <w:rStyle w:val="Hipervnculo"/>
                <w:noProof/>
                <w:lang w:val="es-MX"/>
              </w:rPr>
              <w:t>V.</w:t>
            </w:r>
            <w:r w:rsidR="00E44DA6">
              <w:rPr>
                <w:rFonts w:asciiTheme="minorHAnsi" w:eastAsiaTheme="minorEastAsia" w:hAnsiTheme="minorHAnsi" w:cstheme="minorBidi"/>
                <w:noProof/>
                <w:sz w:val="22"/>
                <w:szCs w:val="22"/>
                <w:lang w:val="es-GT" w:eastAsia="es-GT"/>
              </w:rPr>
              <w:tab/>
            </w:r>
            <w:r w:rsidR="00E44DA6" w:rsidRPr="00946783">
              <w:rPr>
                <w:rStyle w:val="Hipervnculo"/>
                <w:noProof/>
                <w:lang w:val="es-MX"/>
              </w:rPr>
              <w:t>Logros de la Gestión de las Finanzas Públicas 2019</w:t>
            </w:r>
            <w:r w:rsidR="00E44DA6">
              <w:rPr>
                <w:noProof/>
                <w:webHidden/>
              </w:rPr>
              <w:tab/>
            </w:r>
            <w:r w:rsidR="00E44DA6">
              <w:rPr>
                <w:noProof/>
                <w:webHidden/>
              </w:rPr>
              <w:fldChar w:fldCharType="begin"/>
            </w:r>
            <w:r w:rsidR="00E44DA6">
              <w:rPr>
                <w:noProof/>
                <w:webHidden/>
              </w:rPr>
              <w:instrText xml:space="preserve"> PAGEREF _Toc32829798 \h </w:instrText>
            </w:r>
            <w:r w:rsidR="00E44DA6">
              <w:rPr>
                <w:noProof/>
                <w:webHidden/>
              </w:rPr>
            </w:r>
            <w:r w:rsidR="00E44DA6">
              <w:rPr>
                <w:noProof/>
                <w:webHidden/>
              </w:rPr>
              <w:fldChar w:fldCharType="separate"/>
            </w:r>
            <w:r w:rsidR="00911A1C">
              <w:rPr>
                <w:noProof/>
                <w:webHidden/>
              </w:rPr>
              <w:t>45</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799" w:history="1">
            <w:r w:rsidR="00E44DA6" w:rsidRPr="00946783">
              <w:rPr>
                <w:rStyle w:val="Hipervnculo"/>
                <w:rFonts w:eastAsia="Calibri"/>
                <w:noProof/>
                <w:lang w:val="es-GT" w:eastAsia="en-US" w:bidi="en-US"/>
              </w:rPr>
              <w:t>A.</w:t>
            </w:r>
            <w:r w:rsidR="00E44DA6">
              <w:rPr>
                <w:rFonts w:asciiTheme="minorHAnsi" w:eastAsiaTheme="minorEastAsia" w:hAnsiTheme="minorHAnsi" w:cstheme="minorBidi"/>
                <w:noProof/>
                <w:sz w:val="22"/>
                <w:szCs w:val="22"/>
                <w:lang w:val="es-GT" w:eastAsia="es-GT"/>
              </w:rPr>
              <w:tab/>
            </w:r>
            <w:r w:rsidR="00E44DA6" w:rsidRPr="00946783">
              <w:rPr>
                <w:rStyle w:val="Hipervnculo"/>
                <w:rFonts w:eastAsia="Calibri"/>
                <w:noProof/>
                <w:lang w:val="es-GT" w:eastAsia="en-US" w:bidi="en-US"/>
              </w:rPr>
              <w:t>Gobierno Abierto y Transparencia Fiscal</w:t>
            </w:r>
            <w:r w:rsidR="00E44DA6">
              <w:rPr>
                <w:noProof/>
                <w:webHidden/>
              </w:rPr>
              <w:tab/>
            </w:r>
            <w:r w:rsidR="00E44DA6">
              <w:rPr>
                <w:noProof/>
                <w:webHidden/>
              </w:rPr>
              <w:fldChar w:fldCharType="begin"/>
            </w:r>
            <w:r w:rsidR="00E44DA6">
              <w:rPr>
                <w:noProof/>
                <w:webHidden/>
              </w:rPr>
              <w:instrText xml:space="preserve"> PAGEREF _Toc32829799 \h </w:instrText>
            </w:r>
            <w:r w:rsidR="00E44DA6">
              <w:rPr>
                <w:noProof/>
                <w:webHidden/>
              </w:rPr>
            </w:r>
            <w:r w:rsidR="00E44DA6">
              <w:rPr>
                <w:noProof/>
                <w:webHidden/>
              </w:rPr>
              <w:fldChar w:fldCharType="separate"/>
            </w:r>
            <w:r w:rsidR="00911A1C">
              <w:rPr>
                <w:noProof/>
                <w:webHidden/>
              </w:rPr>
              <w:t>45</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800" w:history="1">
            <w:r w:rsidR="00E44DA6" w:rsidRPr="00946783">
              <w:rPr>
                <w:rStyle w:val="Hipervnculo"/>
                <w:rFonts w:eastAsia="Calibri"/>
                <w:noProof/>
                <w:lang w:val="es-GT" w:eastAsia="en-US" w:bidi="en-US"/>
              </w:rPr>
              <w:t>B.</w:t>
            </w:r>
            <w:r w:rsidR="00E44DA6">
              <w:rPr>
                <w:rFonts w:asciiTheme="minorHAnsi" w:eastAsiaTheme="minorEastAsia" w:hAnsiTheme="minorHAnsi" w:cstheme="minorBidi"/>
                <w:noProof/>
                <w:sz w:val="22"/>
                <w:szCs w:val="22"/>
                <w:lang w:val="es-GT" w:eastAsia="es-GT"/>
              </w:rPr>
              <w:tab/>
            </w:r>
            <w:r w:rsidR="00E44DA6" w:rsidRPr="00946783">
              <w:rPr>
                <w:rStyle w:val="Hipervnculo"/>
                <w:rFonts w:eastAsia="Calibri"/>
                <w:noProof/>
                <w:lang w:val="es-GT" w:eastAsia="en-US" w:bidi="en-US"/>
              </w:rPr>
              <w:t>Institucionalización de los Talleres de Presupuesto Abierto</w:t>
            </w:r>
            <w:r w:rsidR="00E44DA6">
              <w:rPr>
                <w:noProof/>
                <w:webHidden/>
              </w:rPr>
              <w:tab/>
            </w:r>
            <w:r w:rsidR="00E44DA6">
              <w:rPr>
                <w:noProof/>
                <w:webHidden/>
              </w:rPr>
              <w:fldChar w:fldCharType="begin"/>
            </w:r>
            <w:r w:rsidR="00E44DA6">
              <w:rPr>
                <w:noProof/>
                <w:webHidden/>
              </w:rPr>
              <w:instrText xml:space="preserve"> PAGEREF _Toc32829800 \h </w:instrText>
            </w:r>
            <w:r w:rsidR="00E44DA6">
              <w:rPr>
                <w:noProof/>
                <w:webHidden/>
              </w:rPr>
            </w:r>
            <w:r w:rsidR="00E44DA6">
              <w:rPr>
                <w:noProof/>
                <w:webHidden/>
              </w:rPr>
              <w:fldChar w:fldCharType="separate"/>
            </w:r>
            <w:r w:rsidR="00911A1C">
              <w:rPr>
                <w:noProof/>
                <w:webHidden/>
              </w:rPr>
              <w:t>48</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801" w:history="1">
            <w:r w:rsidR="00E44DA6" w:rsidRPr="00946783">
              <w:rPr>
                <w:rStyle w:val="Hipervnculo"/>
                <w:rFonts w:eastAsia="Calibri"/>
                <w:noProof/>
                <w:lang w:val="es-GT" w:eastAsia="en-US" w:bidi="en-US"/>
              </w:rPr>
              <w:t>C.</w:t>
            </w:r>
            <w:r w:rsidR="00E44DA6">
              <w:rPr>
                <w:rFonts w:asciiTheme="minorHAnsi" w:eastAsiaTheme="minorEastAsia" w:hAnsiTheme="minorHAnsi" w:cstheme="minorBidi"/>
                <w:noProof/>
                <w:sz w:val="22"/>
                <w:szCs w:val="22"/>
                <w:lang w:val="es-GT" w:eastAsia="es-GT"/>
              </w:rPr>
              <w:tab/>
            </w:r>
            <w:r w:rsidR="00E44DA6" w:rsidRPr="00946783">
              <w:rPr>
                <w:rStyle w:val="Hipervnculo"/>
                <w:rFonts w:eastAsia="Calibri"/>
                <w:noProof/>
                <w:lang w:val="es-GT" w:eastAsia="en-US" w:bidi="en-US"/>
              </w:rPr>
              <w:t>Mejora en la Calificación del Índice de Presupuesto Abierto (OBI)</w:t>
            </w:r>
            <w:r w:rsidR="00E44DA6">
              <w:rPr>
                <w:noProof/>
                <w:webHidden/>
              </w:rPr>
              <w:tab/>
            </w:r>
            <w:r w:rsidR="00E44DA6">
              <w:rPr>
                <w:noProof/>
                <w:webHidden/>
              </w:rPr>
              <w:fldChar w:fldCharType="begin"/>
            </w:r>
            <w:r w:rsidR="00E44DA6">
              <w:rPr>
                <w:noProof/>
                <w:webHidden/>
              </w:rPr>
              <w:instrText xml:space="preserve"> PAGEREF _Toc32829801 \h </w:instrText>
            </w:r>
            <w:r w:rsidR="00E44DA6">
              <w:rPr>
                <w:noProof/>
                <w:webHidden/>
              </w:rPr>
            </w:r>
            <w:r w:rsidR="00E44DA6">
              <w:rPr>
                <w:noProof/>
                <w:webHidden/>
              </w:rPr>
              <w:fldChar w:fldCharType="separate"/>
            </w:r>
            <w:r w:rsidR="00911A1C">
              <w:rPr>
                <w:noProof/>
                <w:webHidden/>
              </w:rPr>
              <w:t>48</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802" w:history="1">
            <w:r w:rsidR="00E44DA6" w:rsidRPr="00946783">
              <w:rPr>
                <w:rStyle w:val="Hipervnculo"/>
                <w:rFonts w:eastAsia="Calibri"/>
                <w:noProof/>
                <w:lang w:val="es-GT" w:eastAsia="en-US" w:bidi="en-US"/>
              </w:rPr>
              <w:t>D.</w:t>
            </w:r>
            <w:r w:rsidR="00E44DA6">
              <w:rPr>
                <w:rFonts w:asciiTheme="minorHAnsi" w:eastAsiaTheme="minorEastAsia" w:hAnsiTheme="minorHAnsi" w:cstheme="minorBidi"/>
                <w:noProof/>
                <w:sz w:val="22"/>
                <w:szCs w:val="22"/>
                <w:lang w:val="es-GT" w:eastAsia="es-GT"/>
              </w:rPr>
              <w:tab/>
            </w:r>
            <w:r w:rsidR="00E44DA6" w:rsidRPr="00946783">
              <w:rPr>
                <w:rStyle w:val="Hipervnculo"/>
                <w:rFonts w:eastAsia="Calibri"/>
                <w:noProof/>
                <w:lang w:val="es-GT" w:eastAsia="en-US" w:bidi="en-US"/>
              </w:rPr>
              <w:t>Lanzamiento del Sistema de Transferencias, Subsidios y Subvenciones (TSS)</w:t>
            </w:r>
            <w:r w:rsidR="00E44DA6">
              <w:rPr>
                <w:noProof/>
                <w:webHidden/>
              </w:rPr>
              <w:tab/>
            </w:r>
            <w:r w:rsidR="00E44DA6">
              <w:rPr>
                <w:noProof/>
                <w:webHidden/>
              </w:rPr>
              <w:fldChar w:fldCharType="begin"/>
            </w:r>
            <w:r w:rsidR="00E44DA6">
              <w:rPr>
                <w:noProof/>
                <w:webHidden/>
              </w:rPr>
              <w:instrText xml:space="preserve"> PAGEREF _Toc32829802 \h </w:instrText>
            </w:r>
            <w:r w:rsidR="00E44DA6">
              <w:rPr>
                <w:noProof/>
                <w:webHidden/>
              </w:rPr>
            </w:r>
            <w:r w:rsidR="00E44DA6">
              <w:rPr>
                <w:noProof/>
                <w:webHidden/>
              </w:rPr>
              <w:fldChar w:fldCharType="separate"/>
            </w:r>
            <w:r w:rsidR="00911A1C">
              <w:rPr>
                <w:noProof/>
                <w:webHidden/>
              </w:rPr>
              <w:t>49</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803" w:history="1">
            <w:r w:rsidR="00E44DA6" w:rsidRPr="00946783">
              <w:rPr>
                <w:rStyle w:val="Hipervnculo"/>
                <w:rFonts w:eastAsia="Calibri"/>
                <w:noProof/>
                <w:lang w:val="es-GT" w:eastAsia="en-US" w:bidi="en-US"/>
              </w:rPr>
              <w:t>E.</w:t>
            </w:r>
            <w:r w:rsidR="00E44DA6">
              <w:rPr>
                <w:rFonts w:asciiTheme="minorHAnsi" w:eastAsiaTheme="minorEastAsia" w:hAnsiTheme="minorHAnsi" w:cstheme="minorBidi"/>
                <w:noProof/>
                <w:sz w:val="22"/>
                <w:szCs w:val="22"/>
                <w:lang w:val="es-GT" w:eastAsia="es-GT"/>
              </w:rPr>
              <w:tab/>
            </w:r>
            <w:r w:rsidR="00E44DA6" w:rsidRPr="00946783">
              <w:rPr>
                <w:rStyle w:val="Hipervnculo"/>
                <w:rFonts w:eastAsia="Calibri"/>
                <w:noProof/>
                <w:lang w:val="es-GT" w:eastAsia="en-US" w:bidi="en-US"/>
              </w:rPr>
              <w:t>Gestión de Riesgos Fiscales</w:t>
            </w:r>
            <w:r w:rsidR="00E44DA6">
              <w:rPr>
                <w:noProof/>
                <w:webHidden/>
              </w:rPr>
              <w:tab/>
            </w:r>
            <w:r w:rsidR="00E44DA6">
              <w:rPr>
                <w:noProof/>
                <w:webHidden/>
              </w:rPr>
              <w:fldChar w:fldCharType="begin"/>
            </w:r>
            <w:r w:rsidR="00E44DA6">
              <w:rPr>
                <w:noProof/>
                <w:webHidden/>
              </w:rPr>
              <w:instrText xml:space="preserve"> PAGEREF _Toc32829803 \h </w:instrText>
            </w:r>
            <w:r w:rsidR="00E44DA6">
              <w:rPr>
                <w:noProof/>
                <w:webHidden/>
              </w:rPr>
            </w:r>
            <w:r w:rsidR="00E44DA6">
              <w:rPr>
                <w:noProof/>
                <w:webHidden/>
              </w:rPr>
              <w:fldChar w:fldCharType="separate"/>
            </w:r>
            <w:r w:rsidR="00911A1C">
              <w:rPr>
                <w:noProof/>
                <w:webHidden/>
              </w:rPr>
              <w:t>50</w:t>
            </w:r>
            <w:r w:rsidR="00E44DA6">
              <w:rPr>
                <w:noProof/>
                <w:webHidden/>
              </w:rPr>
              <w:fldChar w:fldCharType="end"/>
            </w:r>
          </w:hyperlink>
        </w:p>
        <w:p w:rsidR="00E44DA6" w:rsidRDefault="007D4988" w:rsidP="00E44DA6">
          <w:pPr>
            <w:pStyle w:val="TDC2"/>
            <w:jc w:val="right"/>
            <w:rPr>
              <w:rFonts w:asciiTheme="minorHAnsi" w:eastAsiaTheme="minorEastAsia" w:hAnsiTheme="minorHAnsi" w:cstheme="minorBidi"/>
              <w:noProof/>
              <w:sz w:val="22"/>
              <w:szCs w:val="22"/>
              <w:lang w:val="es-GT" w:eastAsia="es-GT"/>
            </w:rPr>
          </w:pPr>
          <w:hyperlink w:anchor="_Toc32829804" w:history="1">
            <w:r w:rsidR="00E44DA6" w:rsidRPr="00946783">
              <w:rPr>
                <w:rStyle w:val="Hipervnculo"/>
                <w:rFonts w:eastAsia="Calibri"/>
                <w:noProof/>
                <w:lang w:val="es-GT" w:eastAsia="en-US" w:bidi="en-US"/>
              </w:rPr>
              <w:t>F.</w:t>
            </w:r>
            <w:r w:rsidR="00E44DA6">
              <w:rPr>
                <w:rFonts w:asciiTheme="minorHAnsi" w:eastAsiaTheme="minorEastAsia" w:hAnsiTheme="minorHAnsi" w:cstheme="minorBidi"/>
                <w:noProof/>
                <w:sz w:val="22"/>
                <w:szCs w:val="22"/>
                <w:lang w:val="es-GT" w:eastAsia="es-GT"/>
              </w:rPr>
              <w:tab/>
            </w:r>
            <w:r w:rsidR="00E44DA6" w:rsidRPr="00946783">
              <w:rPr>
                <w:rStyle w:val="Hipervnculo"/>
                <w:rFonts w:eastAsia="Calibri"/>
                <w:noProof/>
                <w:lang w:val="es-GT" w:eastAsia="en-US" w:bidi="en-US"/>
              </w:rPr>
              <w:t>Estrategia de Transparencia Fiscal del Ministerio de Finanzas Públicas</w:t>
            </w:r>
            <w:r w:rsidR="00E44DA6">
              <w:rPr>
                <w:noProof/>
                <w:webHidden/>
              </w:rPr>
              <w:tab/>
            </w:r>
            <w:r w:rsidR="00E44DA6">
              <w:rPr>
                <w:noProof/>
                <w:webHidden/>
              </w:rPr>
              <w:fldChar w:fldCharType="begin"/>
            </w:r>
            <w:r w:rsidR="00E44DA6">
              <w:rPr>
                <w:noProof/>
                <w:webHidden/>
              </w:rPr>
              <w:instrText xml:space="preserve"> PAGEREF _Toc32829804 \h </w:instrText>
            </w:r>
            <w:r w:rsidR="00E44DA6">
              <w:rPr>
                <w:noProof/>
                <w:webHidden/>
              </w:rPr>
            </w:r>
            <w:r w:rsidR="00E44DA6">
              <w:rPr>
                <w:noProof/>
                <w:webHidden/>
              </w:rPr>
              <w:fldChar w:fldCharType="separate"/>
            </w:r>
            <w:r w:rsidR="00911A1C">
              <w:rPr>
                <w:noProof/>
                <w:webHidden/>
              </w:rPr>
              <w:t>51</w:t>
            </w:r>
            <w:r w:rsidR="00E44DA6">
              <w:rPr>
                <w:noProof/>
                <w:webHidden/>
              </w:rPr>
              <w:fldChar w:fldCharType="end"/>
            </w:r>
          </w:hyperlink>
        </w:p>
        <w:p w:rsidR="00AE2697" w:rsidRPr="00124AD6" w:rsidRDefault="00782AE7" w:rsidP="00E44DA6">
          <w:pPr>
            <w:pStyle w:val="TDC2"/>
            <w:tabs>
              <w:tab w:val="clear" w:pos="880"/>
              <w:tab w:val="clear" w:pos="8828"/>
              <w:tab w:val="left" w:pos="0"/>
              <w:tab w:val="right" w:leader="dot" w:pos="8931"/>
            </w:tabs>
            <w:ind w:left="0"/>
            <w:jc w:val="right"/>
          </w:pPr>
          <w:r w:rsidRPr="00F161D7">
            <w:rPr>
              <w:bCs/>
            </w:rPr>
            <w:fldChar w:fldCharType="end"/>
          </w:r>
          <w:r w:rsidR="00F161D7" w:rsidRPr="00F161D7">
            <w:rPr>
              <w:bCs/>
            </w:rPr>
            <w:t>VI.</w:t>
          </w:r>
          <w:r w:rsidR="00FA4718">
            <w:rPr>
              <w:b/>
              <w:bCs/>
            </w:rPr>
            <w:t xml:space="preserve">   </w:t>
          </w:r>
          <w:r w:rsidR="00F161D7" w:rsidRPr="00F161D7">
            <w:rPr>
              <w:bCs/>
            </w:rPr>
            <w:t>Anexos………………………………………………………………</w:t>
          </w:r>
          <w:r w:rsidR="00E44DA6">
            <w:rPr>
              <w:bCs/>
            </w:rPr>
            <w:t>…….</w:t>
          </w:r>
          <w:r w:rsidR="00F161D7">
            <w:rPr>
              <w:bCs/>
            </w:rPr>
            <w:t>…</w:t>
          </w:r>
          <w:r w:rsidR="00F161D7" w:rsidRPr="00F161D7">
            <w:rPr>
              <w:bCs/>
            </w:rPr>
            <w:t>……………..5</w:t>
          </w:r>
          <w:r w:rsidR="00E44DA6">
            <w:rPr>
              <w:bCs/>
            </w:rPr>
            <w:t>2</w:t>
          </w:r>
        </w:p>
      </w:sdtContent>
    </w:sdt>
    <w:bookmarkStart w:id="1" w:name="_Toc411001584" w:displacedByCustomXml="prev"/>
    <w:p w:rsidR="004B710F" w:rsidRDefault="004B710F">
      <w:r w:rsidRPr="00124AD6">
        <w:br w:type="page"/>
      </w:r>
    </w:p>
    <w:p w:rsidR="003E15D6" w:rsidRPr="00124AD6" w:rsidRDefault="003E15D6" w:rsidP="003E15D6">
      <w:pPr>
        <w:pStyle w:val="Ttulo1"/>
        <w:rPr>
          <w:lang w:val="es-MX"/>
        </w:rPr>
      </w:pPr>
      <w:bookmarkStart w:id="2" w:name="_Toc32829783"/>
      <w:r w:rsidRPr="00124AD6">
        <w:rPr>
          <w:lang w:val="es-MX"/>
        </w:rPr>
        <w:lastRenderedPageBreak/>
        <w:t>Entorno Macroeconómico Internacional</w:t>
      </w:r>
      <w:bookmarkEnd w:id="2"/>
    </w:p>
    <w:p w:rsidR="003E15D6" w:rsidRPr="00124AD6" w:rsidRDefault="003E15D6" w:rsidP="003E15D6">
      <w:pPr>
        <w:rPr>
          <w:lang w:val="es-MX"/>
        </w:rPr>
      </w:pPr>
    </w:p>
    <w:p w:rsidR="003E15D6" w:rsidRDefault="003E15D6" w:rsidP="003E15D6">
      <w:pPr>
        <w:pStyle w:val="Default"/>
        <w:jc w:val="both"/>
        <w:rPr>
          <w:rFonts w:ascii="Times New Roman" w:hAnsi="Times New Roman" w:cs="Times New Roman"/>
          <w:color w:val="auto"/>
        </w:rPr>
      </w:pPr>
      <w:r w:rsidRPr="00342AAF">
        <w:rPr>
          <w:rFonts w:ascii="Times New Roman" w:hAnsi="Times New Roman" w:cs="Times New Roman"/>
          <w:color w:val="auto"/>
        </w:rPr>
        <w:t>En 201</w:t>
      </w:r>
      <w:r>
        <w:rPr>
          <w:rFonts w:ascii="Times New Roman" w:hAnsi="Times New Roman" w:cs="Times New Roman"/>
          <w:color w:val="auto"/>
        </w:rPr>
        <w:t>9</w:t>
      </w:r>
      <w:r w:rsidRPr="00342AAF">
        <w:rPr>
          <w:rFonts w:ascii="Times New Roman" w:hAnsi="Times New Roman" w:cs="Times New Roman"/>
          <w:color w:val="auto"/>
        </w:rPr>
        <w:t xml:space="preserve"> la economía mundial registró un crecimiento estima</w:t>
      </w:r>
      <w:r>
        <w:rPr>
          <w:rFonts w:ascii="Times New Roman" w:hAnsi="Times New Roman" w:cs="Times New Roman"/>
          <w:color w:val="auto"/>
        </w:rPr>
        <w:t>do</w:t>
      </w:r>
      <w:r w:rsidRPr="00342AAF">
        <w:rPr>
          <w:rFonts w:ascii="Times New Roman" w:hAnsi="Times New Roman" w:cs="Times New Roman"/>
          <w:color w:val="auto"/>
        </w:rPr>
        <w:t xml:space="preserve"> </w:t>
      </w:r>
      <w:r>
        <w:rPr>
          <w:rFonts w:ascii="Times New Roman" w:hAnsi="Times New Roman" w:cs="Times New Roman"/>
          <w:color w:val="auto"/>
        </w:rPr>
        <w:t>de</w:t>
      </w:r>
      <w:r w:rsidRPr="00342AAF">
        <w:rPr>
          <w:rFonts w:ascii="Times New Roman" w:hAnsi="Times New Roman" w:cs="Times New Roman"/>
          <w:color w:val="auto"/>
        </w:rPr>
        <w:t xml:space="preserve"> </w:t>
      </w:r>
      <w:r>
        <w:rPr>
          <w:rFonts w:ascii="Times New Roman" w:hAnsi="Times New Roman" w:cs="Times New Roman"/>
          <w:color w:val="auto"/>
        </w:rPr>
        <w:t>2.9</w:t>
      </w:r>
      <w:r w:rsidRPr="00342AAF">
        <w:rPr>
          <w:rFonts w:ascii="Times New Roman" w:hAnsi="Times New Roman" w:cs="Times New Roman"/>
          <w:color w:val="auto"/>
        </w:rPr>
        <w:t xml:space="preserve">%; </w:t>
      </w:r>
      <w:r>
        <w:rPr>
          <w:rFonts w:ascii="Times New Roman" w:hAnsi="Times New Roman" w:cs="Times New Roman"/>
          <w:color w:val="auto"/>
        </w:rPr>
        <w:t xml:space="preserve">se prevé que para 2020 </w:t>
      </w:r>
      <w:r w:rsidRPr="001D66BE">
        <w:rPr>
          <w:rFonts w:ascii="Times New Roman" w:hAnsi="Times New Roman" w:cs="Times New Roman"/>
          <w:color w:val="auto"/>
        </w:rPr>
        <w:t>aumente a 3</w:t>
      </w:r>
      <w:r>
        <w:rPr>
          <w:rFonts w:ascii="Times New Roman" w:hAnsi="Times New Roman" w:cs="Times New Roman"/>
          <w:color w:val="auto"/>
        </w:rPr>
        <w:t>.</w:t>
      </w:r>
      <w:r w:rsidRPr="001D66BE">
        <w:rPr>
          <w:rFonts w:ascii="Times New Roman" w:hAnsi="Times New Roman" w:cs="Times New Roman"/>
          <w:color w:val="auto"/>
        </w:rPr>
        <w:t>3% y a 3</w:t>
      </w:r>
      <w:r>
        <w:rPr>
          <w:rFonts w:ascii="Times New Roman" w:hAnsi="Times New Roman" w:cs="Times New Roman"/>
          <w:color w:val="auto"/>
        </w:rPr>
        <w:t>.</w:t>
      </w:r>
      <w:r w:rsidRPr="001D66BE">
        <w:rPr>
          <w:rFonts w:ascii="Times New Roman" w:hAnsi="Times New Roman" w:cs="Times New Roman"/>
          <w:color w:val="auto"/>
        </w:rPr>
        <w:t xml:space="preserve">4% en 2021; </w:t>
      </w:r>
      <w:r w:rsidR="009E47B7">
        <w:rPr>
          <w:rFonts w:ascii="Times New Roman" w:hAnsi="Times New Roman" w:cs="Times New Roman"/>
          <w:color w:val="auto"/>
        </w:rPr>
        <w:t>este crecimiento</w:t>
      </w:r>
      <w:r w:rsidRPr="001D66BE">
        <w:rPr>
          <w:rFonts w:ascii="Times New Roman" w:hAnsi="Times New Roman" w:cs="Times New Roman"/>
          <w:color w:val="auto"/>
        </w:rPr>
        <w:t xml:space="preserve"> se debe</w:t>
      </w:r>
      <w:r>
        <w:rPr>
          <w:rFonts w:ascii="Times New Roman" w:hAnsi="Times New Roman" w:cs="Times New Roman"/>
          <w:color w:val="auto"/>
        </w:rPr>
        <w:t>n</w:t>
      </w:r>
      <w:r w:rsidRPr="001D66BE">
        <w:rPr>
          <w:rFonts w:ascii="Times New Roman" w:hAnsi="Times New Roman" w:cs="Times New Roman"/>
          <w:color w:val="auto"/>
        </w:rPr>
        <w:t xml:space="preserve"> principalmente a resultados inesperados negativos de la actividad económica en unas pocas economías de mercados emergentes, en particular India, que dieron lugar a una revaluación de las perspectivas de crecimiento correspondientes a los próximos dos años.</w:t>
      </w:r>
    </w:p>
    <w:p w:rsidR="003E15D6" w:rsidRDefault="003E15D6" w:rsidP="003E15D6">
      <w:pPr>
        <w:pStyle w:val="Default"/>
        <w:jc w:val="both"/>
        <w:rPr>
          <w:rFonts w:ascii="Times New Roman" w:hAnsi="Times New Roman" w:cs="Times New Roman"/>
          <w:color w:val="auto"/>
        </w:rPr>
      </w:pPr>
    </w:p>
    <w:p w:rsidR="003E15D6" w:rsidRPr="003745E2" w:rsidRDefault="003E15D6" w:rsidP="003E15D6">
      <w:pPr>
        <w:autoSpaceDE w:val="0"/>
        <w:autoSpaceDN w:val="0"/>
        <w:adjustRightInd w:val="0"/>
        <w:jc w:val="both"/>
      </w:pPr>
      <w:r>
        <w:t xml:space="preserve">La trayectoria del crecimiento mundial denota un descenso marcado seguido de un retorno a niveles próximos a los registros históricos para un grupo de economías de mercados emergentes y en desarrollo de desempeño deficiente y </w:t>
      </w:r>
      <w:r w:rsidR="009E47B7">
        <w:t>que soportan tensiones (incluido</w:t>
      </w:r>
      <w:r>
        <w:t xml:space="preserve">s Brasil, India, México, Rusia y Turquía). El perfil de crecimiento también depende de que las economías de mercados emergentes relativamente saludables mantengan su desempeño sólido aun cuando las economías avanzadas y China continúan desacelerándose gradualmente hacia sus </w:t>
      </w:r>
      <w:r w:rsidR="009E47B7">
        <w:t>tasas de crecimiento potencial.</w:t>
      </w:r>
    </w:p>
    <w:p w:rsidR="003E15D6" w:rsidRDefault="003E15D6" w:rsidP="003E15D6">
      <w:pPr>
        <w:pStyle w:val="Default"/>
        <w:jc w:val="both"/>
        <w:rPr>
          <w:rFonts w:ascii="Times New Roman" w:hAnsi="Times New Roman" w:cs="Times New Roman"/>
          <w:color w:val="auto"/>
        </w:rPr>
      </w:pPr>
    </w:p>
    <w:p w:rsidR="003E15D6" w:rsidRPr="00190F0E" w:rsidRDefault="003E15D6" w:rsidP="003E15D6">
      <w:pPr>
        <w:jc w:val="center"/>
        <w:rPr>
          <w:b/>
        </w:rPr>
      </w:pPr>
      <w:r w:rsidRPr="00190F0E">
        <w:rPr>
          <w:b/>
        </w:rPr>
        <w:t>Cuadro 1</w:t>
      </w:r>
    </w:p>
    <w:p w:rsidR="003E15D6" w:rsidRPr="00124AD6" w:rsidRDefault="003E15D6" w:rsidP="003E15D6">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Crecimiento Económico Mundial</w:t>
      </w:r>
    </w:p>
    <w:p w:rsidR="003E15D6" w:rsidRDefault="003E15D6" w:rsidP="003E15D6">
      <w:pPr>
        <w:autoSpaceDE w:val="0"/>
        <w:autoSpaceDN w:val="0"/>
        <w:adjustRightInd w:val="0"/>
        <w:jc w:val="center"/>
        <w:rPr>
          <w:rFonts w:eastAsia="Calibri"/>
          <w:b/>
          <w:bCs/>
          <w:color w:val="000000"/>
          <w:lang w:val="es-GT" w:eastAsia="es-GT"/>
        </w:rPr>
      </w:pPr>
      <w:r>
        <w:rPr>
          <w:rFonts w:eastAsia="Calibri"/>
          <w:b/>
          <w:bCs/>
          <w:color w:val="000000"/>
          <w:lang w:val="es-GT" w:eastAsia="es-GT"/>
        </w:rPr>
        <w:t xml:space="preserve">Período </w:t>
      </w:r>
      <w:r w:rsidRPr="00124AD6">
        <w:rPr>
          <w:rFonts w:eastAsia="Calibri"/>
          <w:b/>
          <w:bCs/>
          <w:color w:val="000000"/>
          <w:lang w:val="es-GT" w:eastAsia="es-GT"/>
        </w:rPr>
        <w:t>20</w:t>
      </w:r>
      <w:r>
        <w:rPr>
          <w:rFonts w:eastAsia="Calibri"/>
          <w:b/>
          <w:bCs/>
          <w:color w:val="000000"/>
          <w:lang w:val="es-GT" w:eastAsia="es-GT"/>
        </w:rPr>
        <w:t>18</w:t>
      </w:r>
      <w:r w:rsidR="006501EF">
        <w:rPr>
          <w:rFonts w:eastAsia="Calibri"/>
          <w:b/>
          <w:bCs/>
          <w:color w:val="000000"/>
          <w:lang w:val="es-GT" w:eastAsia="es-GT"/>
        </w:rPr>
        <w:t xml:space="preserve"> </w:t>
      </w:r>
      <w:r w:rsidRPr="00124AD6">
        <w:rPr>
          <w:rFonts w:eastAsia="Calibri"/>
          <w:b/>
          <w:bCs/>
          <w:color w:val="000000"/>
          <w:lang w:val="es-GT" w:eastAsia="es-GT"/>
        </w:rPr>
        <w:t>-</w:t>
      </w:r>
      <w:r w:rsidR="006501EF">
        <w:rPr>
          <w:rFonts w:eastAsia="Calibri"/>
          <w:b/>
          <w:bCs/>
          <w:color w:val="000000"/>
          <w:lang w:val="es-GT" w:eastAsia="es-GT"/>
        </w:rPr>
        <w:t xml:space="preserve"> </w:t>
      </w:r>
      <w:r>
        <w:rPr>
          <w:rFonts w:eastAsia="Calibri"/>
          <w:b/>
          <w:bCs/>
          <w:color w:val="000000"/>
          <w:lang w:val="es-GT" w:eastAsia="es-GT"/>
        </w:rPr>
        <w:t>2021</w:t>
      </w:r>
    </w:p>
    <w:p w:rsidR="003E15D6" w:rsidRDefault="003E15D6" w:rsidP="003E15D6">
      <w:pPr>
        <w:autoSpaceDE w:val="0"/>
        <w:autoSpaceDN w:val="0"/>
        <w:adjustRightInd w:val="0"/>
        <w:jc w:val="center"/>
        <w:rPr>
          <w:rFonts w:eastAsia="Calibri"/>
          <w:b/>
          <w:color w:val="000000"/>
          <w:lang w:val="es-GT" w:eastAsia="es-GT"/>
        </w:rPr>
      </w:pPr>
      <w:r>
        <w:rPr>
          <w:rFonts w:eastAsia="Calibri"/>
          <w:b/>
          <w:bCs/>
          <w:color w:val="000000"/>
          <w:lang w:val="es-GT" w:eastAsia="es-GT"/>
        </w:rPr>
        <w:t>(Cifras en P</w:t>
      </w:r>
      <w:r w:rsidRPr="00190F0E">
        <w:rPr>
          <w:rFonts w:eastAsia="Calibri"/>
          <w:b/>
          <w:color w:val="000000"/>
          <w:lang w:val="es-GT" w:eastAsia="es-GT"/>
        </w:rPr>
        <w:t>orcentajes</w:t>
      </w:r>
      <w:r>
        <w:rPr>
          <w:rFonts w:eastAsia="Calibri"/>
          <w:b/>
          <w:color w:val="000000"/>
          <w:lang w:val="es-GT" w:eastAsia="es-GT"/>
        </w:rPr>
        <w:t>)</w:t>
      </w:r>
    </w:p>
    <w:p w:rsidR="003E15D6" w:rsidRPr="0082029F" w:rsidRDefault="003E15D6" w:rsidP="003E15D6">
      <w:pPr>
        <w:autoSpaceDE w:val="0"/>
        <w:autoSpaceDN w:val="0"/>
        <w:adjustRightInd w:val="0"/>
        <w:jc w:val="center"/>
        <w:rPr>
          <w:sz w:val="12"/>
        </w:rPr>
      </w:pPr>
    </w:p>
    <w:tbl>
      <w:tblPr>
        <w:tblW w:w="9095" w:type="dxa"/>
        <w:tblInd w:w="55" w:type="dxa"/>
        <w:tblCellMar>
          <w:left w:w="70" w:type="dxa"/>
          <w:right w:w="70" w:type="dxa"/>
        </w:tblCellMar>
        <w:tblLook w:val="04A0" w:firstRow="1" w:lastRow="0" w:firstColumn="1" w:lastColumn="0" w:noHBand="0" w:noVBand="1"/>
      </w:tblPr>
      <w:tblGrid>
        <w:gridCol w:w="5951"/>
        <w:gridCol w:w="751"/>
        <w:gridCol w:w="751"/>
        <w:gridCol w:w="821"/>
        <w:gridCol w:w="821"/>
      </w:tblGrid>
      <w:tr w:rsidR="003E15D6" w:rsidRPr="00342AAF" w:rsidTr="003E15D6">
        <w:trPr>
          <w:trHeight w:val="383"/>
        </w:trPr>
        <w:tc>
          <w:tcPr>
            <w:tcW w:w="5951" w:type="dxa"/>
            <w:tcBorders>
              <w:top w:val="single" w:sz="4" w:space="0" w:color="auto"/>
              <w:left w:val="nil"/>
              <w:bottom w:val="single" w:sz="4" w:space="0" w:color="auto"/>
              <w:right w:val="nil"/>
            </w:tcBorders>
            <w:shd w:val="clear" w:color="000000" w:fill="auto"/>
            <w:noWrap/>
            <w:vAlign w:val="bottom"/>
            <w:hideMark/>
          </w:tcPr>
          <w:p w:rsidR="003E15D6" w:rsidRDefault="003E15D6" w:rsidP="003E15D6">
            <w:pPr>
              <w:rPr>
                <w:color w:val="000000"/>
                <w:lang w:val="es-GT" w:eastAsia="es-GT"/>
              </w:rPr>
            </w:pPr>
            <w:r>
              <w:rPr>
                <w:color w:val="000000"/>
              </w:rPr>
              <w:t> </w:t>
            </w:r>
          </w:p>
        </w:tc>
        <w:tc>
          <w:tcPr>
            <w:tcW w:w="751" w:type="dxa"/>
            <w:tcBorders>
              <w:top w:val="single" w:sz="4" w:space="0" w:color="auto"/>
              <w:left w:val="nil"/>
              <w:bottom w:val="single" w:sz="4" w:space="0" w:color="auto"/>
              <w:right w:val="nil"/>
            </w:tcBorders>
            <w:shd w:val="clear" w:color="000000" w:fill="auto"/>
            <w:noWrap/>
            <w:vAlign w:val="center"/>
            <w:hideMark/>
          </w:tcPr>
          <w:p w:rsidR="003E15D6" w:rsidRDefault="003E15D6" w:rsidP="003E15D6">
            <w:pPr>
              <w:jc w:val="center"/>
              <w:rPr>
                <w:b/>
                <w:bCs/>
                <w:color w:val="000000"/>
              </w:rPr>
            </w:pPr>
            <w:r>
              <w:rPr>
                <w:b/>
                <w:bCs/>
                <w:color w:val="000000"/>
              </w:rPr>
              <w:t>2018</w:t>
            </w:r>
          </w:p>
        </w:tc>
        <w:tc>
          <w:tcPr>
            <w:tcW w:w="751" w:type="dxa"/>
            <w:tcBorders>
              <w:top w:val="single" w:sz="4" w:space="0" w:color="auto"/>
              <w:left w:val="nil"/>
              <w:bottom w:val="single" w:sz="4" w:space="0" w:color="auto"/>
              <w:right w:val="nil"/>
            </w:tcBorders>
            <w:shd w:val="clear" w:color="000000" w:fill="auto"/>
            <w:noWrap/>
            <w:vAlign w:val="center"/>
            <w:hideMark/>
          </w:tcPr>
          <w:p w:rsidR="003E15D6" w:rsidRDefault="003E15D6" w:rsidP="003E15D6">
            <w:pPr>
              <w:jc w:val="center"/>
              <w:rPr>
                <w:b/>
                <w:bCs/>
                <w:color w:val="000000"/>
              </w:rPr>
            </w:pPr>
            <w:r>
              <w:rPr>
                <w:b/>
                <w:bCs/>
                <w:color w:val="000000"/>
              </w:rPr>
              <w:t>2019</w:t>
            </w:r>
          </w:p>
        </w:tc>
        <w:tc>
          <w:tcPr>
            <w:tcW w:w="821" w:type="dxa"/>
            <w:tcBorders>
              <w:top w:val="single" w:sz="4" w:space="0" w:color="auto"/>
              <w:left w:val="nil"/>
              <w:bottom w:val="single" w:sz="4" w:space="0" w:color="auto"/>
              <w:right w:val="nil"/>
            </w:tcBorders>
            <w:shd w:val="clear" w:color="000000" w:fill="auto"/>
            <w:noWrap/>
            <w:vAlign w:val="center"/>
            <w:hideMark/>
          </w:tcPr>
          <w:p w:rsidR="003E15D6" w:rsidRDefault="003E15D6" w:rsidP="003E15D6">
            <w:pPr>
              <w:jc w:val="center"/>
              <w:rPr>
                <w:b/>
                <w:bCs/>
                <w:color w:val="000000"/>
              </w:rPr>
            </w:pPr>
            <w:r>
              <w:rPr>
                <w:b/>
                <w:bCs/>
                <w:color w:val="000000"/>
              </w:rPr>
              <w:t>2020/p</w:t>
            </w:r>
          </w:p>
        </w:tc>
        <w:tc>
          <w:tcPr>
            <w:tcW w:w="821" w:type="dxa"/>
            <w:tcBorders>
              <w:top w:val="single" w:sz="4" w:space="0" w:color="auto"/>
              <w:left w:val="nil"/>
              <w:bottom w:val="single" w:sz="4" w:space="0" w:color="auto"/>
              <w:right w:val="nil"/>
            </w:tcBorders>
            <w:shd w:val="clear" w:color="000000" w:fill="auto"/>
            <w:noWrap/>
            <w:vAlign w:val="center"/>
            <w:hideMark/>
          </w:tcPr>
          <w:p w:rsidR="003E15D6" w:rsidRDefault="003E15D6" w:rsidP="003E15D6">
            <w:pPr>
              <w:jc w:val="center"/>
              <w:rPr>
                <w:b/>
                <w:bCs/>
                <w:color w:val="000000"/>
              </w:rPr>
            </w:pPr>
            <w:r>
              <w:rPr>
                <w:b/>
                <w:bCs/>
                <w:color w:val="000000"/>
              </w:rPr>
              <w:t>2021/p</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rPr>
                <w:b/>
                <w:bCs/>
                <w:color w:val="000000"/>
                <w:lang w:val="es-GT" w:eastAsia="es-GT"/>
              </w:rPr>
            </w:pPr>
            <w:r>
              <w:rPr>
                <w:b/>
                <w:bCs/>
                <w:color w:val="000000"/>
              </w:rPr>
              <w:t>Producto Mundial</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b/>
                <w:bCs/>
                <w:color w:val="000000"/>
              </w:rPr>
            </w:pPr>
            <w:r>
              <w:rPr>
                <w:b/>
                <w:bCs/>
                <w:color w:val="000000"/>
              </w:rPr>
              <w:t>3.6</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b/>
                <w:bCs/>
                <w:color w:val="000000"/>
              </w:rPr>
            </w:pPr>
            <w:r>
              <w:rPr>
                <w:b/>
                <w:bCs/>
                <w:color w:val="000000"/>
              </w:rPr>
              <w:t>2.9</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b/>
                <w:bCs/>
                <w:color w:val="000000"/>
              </w:rPr>
            </w:pPr>
            <w:r>
              <w:rPr>
                <w:b/>
                <w:bCs/>
                <w:color w:val="000000"/>
              </w:rPr>
              <w:t>3.3</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b/>
                <w:bCs/>
                <w:color w:val="000000"/>
              </w:rPr>
            </w:pPr>
            <w:r>
              <w:rPr>
                <w:b/>
                <w:bCs/>
                <w:color w:val="000000"/>
              </w:rPr>
              <w:t>3.4</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rPr>
                <w:b/>
                <w:bCs/>
                <w:color w:val="000000"/>
              </w:rPr>
            </w:pPr>
            <w:r>
              <w:rPr>
                <w:b/>
                <w:bCs/>
                <w:color w:val="000000"/>
              </w:rPr>
              <w:t>Economías Avanzadas</w:t>
            </w:r>
          </w:p>
        </w:tc>
        <w:tc>
          <w:tcPr>
            <w:tcW w:w="751" w:type="dxa"/>
            <w:tcBorders>
              <w:top w:val="nil"/>
              <w:left w:val="nil"/>
              <w:bottom w:val="nil"/>
              <w:right w:val="nil"/>
            </w:tcBorders>
            <w:shd w:val="clear" w:color="000000" w:fill="auto"/>
            <w:noWrap/>
            <w:vAlign w:val="bottom"/>
            <w:hideMark/>
          </w:tcPr>
          <w:p w:rsidR="003E15D6" w:rsidRPr="009E47B7" w:rsidRDefault="003E15D6" w:rsidP="003E15D6">
            <w:pPr>
              <w:jc w:val="center"/>
              <w:rPr>
                <w:b/>
                <w:color w:val="000000"/>
                <w:sz w:val="22"/>
                <w:szCs w:val="22"/>
              </w:rPr>
            </w:pPr>
            <w:r w:rsidRPr="009E47B7">
              <w:rPr>
                <w:b/>
                <w:color w:val="000000"/>
                <w:sz w:val="22"/>
                <w:szCs w:val="22"/>
              </w:rPr>
              <w:t>2.2</w:t>
            </w:r>
          </w:p>
        </w:tc>
        <w:tc>
          <w:tcPr>
            <w:tcW w:w="751" w:type="dxa"/>
            <w:tcBorders>
              <w:top w:val="nil"/>
              <w:left w:val="nil"/>
              <w:bottom w:val="nil"/>
              <w:right w:val="nil"/>
            </w:tcBorders>
            <w:shd w:val="clear" w:color="000000" w:fill="auto"/>
            <w:noWrap/>
            <w:vAlign w:val="bottom"/>
            <w:hideMark/>
          </w:tcPr>
          <w:p w:rsidR="003E15D6" w:rsidRPr="009E47B7" w:rsidRDefault="003E15D6" w:rsidP="003E15D6">
            <w:pPr>
              <w:jc w:val="center"/>
              <w:rPr>
                <w:b/>
                <w:color w:val="000000"/>
                <w:sz w:val="22"/>
                <w:szCs w:val="22"/>
              </w:rPr>
            </w:pPr>
            <w:r w:rsidRPr="009E47B7">
              <w:rPr>
                <w:b/>
                <w:color w:val="000000"/>
                <w:sz w:val="22"/>
                <w:szCs w:val="22"/>
              </w:rPr>
              <w:t>1.7</w:t>
            </w:r>
          </w:p>
        </w:tc>
        <w:tc>
          <w:tcPr>
            <w:tcW w:w="821" w:type="dxa"/>
            <w:tcBorders>
              <w:top w:val="nil"/>
              <w:left w:val="nil"/>
              <w:bottom w:val="nil"/>
              <w:right w:val="nil"/>
            </w:tcBorders>
            <w:shd w:val="clear" w:color="000000" w:fill="auto"/>
            <w:noWrap/>
            <w:vAlign w:val="bottom"/>
            <w:hideMark/>
          </w:tcPr>
          <w:p w:rsidR="003E15D6" w:rsidRPr="009E47B7" w:rsidRDefault="003E15D6" w:rsidP="003E15D6">
            <w:pPr>
              <w:jc w:val="right"/>
              <w:rPr>
                <w:b/>
                <w:color w:val="000000"/>
              </w:rPr>
            </w:pPr>
            <w:r w:rsidRPr="009E47B7">
              <w:rPr>
                <w:b/>
                <w:color w:val="000000"/>
              </w:rPr>
              <w:t>1.6</w:t>
            </w:r>
          </w:p>
        </w:tc>
        <w:tc>
          <w:tcPr>
            <w:tcW w:w="821" w:type="dxa"/>
            <w:tcBorders>
              <w:top w:val="nil"/>
              <w:left w:val="nil"/>
              <w:bottom w:val="nil"/>
              <w:right w:val="nil"/>
            </w:tcBorders>
            <w:shd w:val="clear" w:color="000000" w:fill="auto"/>
            <w:noWrap/>
            <w:vAlign w:val="bottom"/>
            <w:hideMark/>
          </w:tcPr>
          <w:p w:rsidR="003E15D6" w:rsidRPr="009E47B7" w:rsidRDefault="003E15D6" w:rsidP="003E15D6">
            <w:pPr>
              <w:jc w:val="right"/>
              <w:rPr>
                <w:b/>
                <w:color w:val="000000"/>
              </w:rPr>
            </w:pPr>
            <w:r w:rsidRPr="009E47B7">
              <w:rPr>
                <w:b/>
                <w:color w:val="000000"/>
              </w:rPr>
              <w:t>1.6</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ind w:firstLineChars="100" w:firstLine="220"/>
              <w:rPr>
                <w:color w:val="000000"/>
                <w:sz w:val="22"/>
                <w:szCs w:val="22"/>
              </w:rPr>
            </w:pPr>
            <w:r>
              <w:rPr>
                <w:color w:val="000000"/>
                <w:sz w:val="22"/>
                <w:szCs w:val="22"/>
              </w:rPr>
              <w:t>Estados Unidos</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2.9</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2.3</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2.0</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1.7</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ind w:firstLineChars="100" w:firstLine="220"/>
              <w:rPr>
                <w:color w:val="000000"/>
                <w:sz w:val="22"/>
                <w:szCs w:val="22"/>
              </w:rPr>
            </w:pPr>
            <w:r>
              <w:rPr>
                <w:color w:val="000000"/>
                <w:sz w:val="22"/>
                <w:szCs w:val="22"/>
              </w:rPr>
              <w:t>Zona del Euro</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1.9</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1.2</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1.3</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1.4</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ind w:firstLineChars="200" w:firstLine="440"/>
              <w:rPr>
                <w:color w:val="000000"/>
                <w:sz w:val="22"/>
                <w:szCs w:val="22"/>
              </w:rPr>
            </w:pPr>
            <w:r>
              <w:rPr>
                <w:color w:val="000000"/>
                <w:sz w:val="22"/>
                <w:szCs w:val="22"/>
              </w:rPr>
              <w:t>Alemania</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1.5</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1.3</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1.6</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1.4</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ind w:firstLineChars="200" w:firstLine="440"/>
              <w:rPr>
                <w:color w:val="000000"/>
                <w:sz w:val="22"/>
                <w:szCs w:val="22"/>
              </w:rPr>
            </w:pPr>
            <w:r>
              <w:rPr>
                <w:color w:val="000000"/>
                <w:sz w:val="22"/>
                <w:szCs w:val="22"/>
              </w:rPr>
              <w:t>Francia</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1.5</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1.5</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1.6</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1.3</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ind w:firstLineChars="200" w:firstLine="440"/>
              <w:rPr>
                <w:color w:val="000000"/>
                <w:sz w:val="22"/>
                <w:szCs w:val="22"/>
              </w:rPr>
            </w:pPr>
            <w:r>
              <w:rPr>
                <w:color w:val="000000"/>
                <w:sz w:val="22"/>
                <w:szCs w:val="22"/>
              </w:rPr>
              <w:t xml:space="preserve">Italia </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1.0</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0.6</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0.9</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0.7</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ind w:firstLineChars="200" w:firstLine="440"/>
              <w:rPr>
                <w:color w:val="000000"/>
                <w:sz w:val="22"/>
                <w:szCs w:val="22"/>
              </w:rPr>
            </w:pPr>
            <w:r>
              <w:rPr>
                <w:color w:val="000000"/>
                <w:sz w:val="22"/>
                <w:szCs w:val="22"/>
              </w:rPr>
              <w:t>España</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2.5</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2.2</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1.9</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1.6</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ind w:firstLineChars="200" w:firstLine="440"/>
              <w:rPr>
                <w:color w:val="000000"/>
                <w:sz w:val="22"/>
                <w:szCs w:val="22"/>
              </w:rPr>
            </w:pPr>
            <w:r>
              <w:rPr>
                <w:color w:val="000000"/>
                <w:sz w:val="22"/>
                <w:szCs w:val="22"/>
              </w:rPr>
              <w:t>Japón</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0.3</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1.0</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0.7</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0.5</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rPr>
                <w:color w:val="000000"/>
              </w:rPr>
            </w:pPr>
            <w:r>
              <w:rPr>
                <w:color w:val="000000"/>
              </w:rPr>
              <w:t> </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rPr>
            </w:pPr>
            <w:r>
              <w:rPr>
                <w:color w:val="000000"/>
              </w:rPr>
              <w:t> </w:t>
            </w:r>
          </w:p>
        </w:tc>
        <w:tc>
          <w:tcPr>
            <w:tcW w:w="751" w:type="dxa"/>
            <w:tcBorders>
              <w:top w:val="nil"/>
              <w:left w:val="nil"/>
              <w:bottom w:val="nil"/>
              <w:right w:val="nil"/>
            </w:tcBorders>
            <w:shd w:val="clear" w:color="000000" w:fill="FFFFFF"/>
            <w:noWrap/>
            <w:vAlign w:val="bottom"/>
            <w:hideMark/>
          </w:tcPr>
          <w:p w:rsidR="003E15D6" w:rsidRDefault="003E15D6" w:rsidP="003E15D6">
            <w:pPr>
              <w:jc w:val="center"/>
              <w:rPr>
                <w:color w:val="000000"/>
              </w:rPr>
            </w:pPr>
            <w:r>
              <w:rPr>
                <w:color w:val="000000"/>
              </w:rPr>
              <w:t> </w:t>
            </w:r>
          </w:p>
        </w:tc>
        <w:tc>
          <w:tcPr>
            <w:tcW w:w="821" w:type="dxa"/>
            <w:tcBorders>
              <w:top w:val="nil"/>
              <w:left w:val="nil"/>
              <w:bottom w:val="nil"/>
              <w:right w:val="nil"/>
            </w:tcBorders>
            <w:shd w:val="clear" w:color="000000" w:fill="auto"/>
            <w:noWrap/>
            <w:vAlign w:val="bottom"/>
            <w:hideMark/>
          </w:tcPr>
          <w:p w:rsidR="003E15D6" w:rsidRDefault="003E15D6" w:rsidP="003E15D6">
            <w:pPr>
              <w:rPr>
                <w:color w:val="000000"/>
              </w:rPr>
            </w:pPr>
            <w:r>
              <w:rPr>
                <w:color w:val="000000"/>
              </w:rPr>
              <w:t> </w:t>
            </w:r>
          </w:p>
        </w:tc>
        <w:tc>
          <w:tcPr>
            <w:tcW w:w="821" w:type="dxa"/>
            <w:tcBorders>
              <w:top w:val="nil"/>
              <w:left w:val="nil"/>
              <w:bottom w:val="nil"/>
              <w:right w:val="nil"/>
            </w:tcBorders>
            <w:shd w:val="clear" w:color="000000" w:fill="FFFFFF"/>
            <w:noWrap/>
            <w:vAlign w:val="bottom"/>
            <w:hideMark/>
          </w:tcPr>
          <w:p w:rsidR="003E15D6" w:rsidRDefault="003E15D6" w:rsidP="003E15D6">
            <w:pPr>
              <w:rPr>
                <w:color w:val="000000"/>
              </w:rPr>
            </w:pPr>
            <w:r>
              <w:rPr>
                <w:color w:val="000000"/>
              </w:rPr>
              <w:t> </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rPr>
                <w:b/>
                <w:bCs/>
                <w:color w:val="000000"/>
              </w:rPr>
            </w:pPr>
            <w:r>
              <w:rPr>
                <w:b/>
                <w:bCs/>
                <w:color w:val="000000"/>
              </w:rPr>
              <w:t>Economías Emergentes y en Desarrollo</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b/>
                <w:bCs/>
                <w:color w:val="000000"/>
              </w:rPr>
            </w:pPr>
            <w:r>
              <w:rPr>
                <w:b/>
                <w:bCs/>
                <w:color w:val="000000"/>
              </w:rPr>
              <w:t>4.5</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b/>
                <w:bCs/>
                <w:color w:val="000000"/>
              </w:rPr>
            </w:pPr>
            <w:r>
              <w:rPr>
                <w:b/>
                <w:bCs/>
                <w:color w:val="000000"/>
              </w:rPr>
              <w:t>3.7</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b/>
                <w:bCs/>
                <w:color w:val="000000"/>
              </w:rPr>
            </w:pPr>
            <w:r>
              <w:rPr>
                <w:b/>
                <w:bCs/>
                <w:color w:val="000000"/>
              </w:rPr>
              <w:t>4.4</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b/>
                <w:bCs/>
                <w:color w:val="000000"/>
              </w:rPr>
            </w:pPr>
            <w:r>
              <w:rPr>
                <w:b/>
                <w:bCs/>
                <w:color w:val="000000"/>
              </w:rPr>
              <w:t>4.6</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rPr>
                <w:b/>
                <w:bCs/>
                <w:color w:val="000000"/>
              </w:rPr>
            </w:pPr>
            <w:r>
              <w:rPr>
                <w:b/>
                <w:bCs/>
                <w:color w:val="000000"/>
              </w:rPr>
              <w:t>Asia</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b/>
                <w:bCs/>
                <w:color w:val="000000"/>
              </w:rPr>
            </w:pPr>
            <w:r>
              <w:rPr>
                <w:b/>
                <w:bCs/>
                <w:color w:val="000000"/>
              </w:rPr>
              <w:t>6.3</w:t>
            </w:r>
          </w:p>
        </w:tc>
        <w:tc>
          <w:tcPr>
            <w:tcW w:w="751" w:type="dxa"/>
            <w:tcBorders>
              <w:top w:val="nil"/>
              <w:left w:val="nil"/>
              <w:bottom w:val="nil"/>
              <w:right w:val="nil"/>
            </w:tcBorders>
            <w:shd w:val="clear" w:color="000000" w:fill="FFFFFF"/>
            <w:noWrap/>
            <w:vAlign w:val="bottom"/>
            <w:hideMark/>
          </w:tcPr>
          <w:p w:rsidR="003E15D6" w:rsidRDefault="003E15D6" w:rsidP="003E15D6">
            <w:pPr>
              <w:jc w:val="center"/>
              <w:rPr>
                <w:b/>
                <w:bCs/>
                <w:color w:val="000000"/>
              </w:rPr>
            </w:pPr>
            <w:r>
              <w:rPr>
                <w:b/>
                <w:bCs/>
                <w:color w:val="000000"/>
              </w:rPr>
              <w:t>5.8</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b/>
                <w:bCs/>
                <w:color w:val="000000"/>
              </w:rPr>
            </w:pPr>
            <w:r>
              <w:rPr>
                <w:b/>
                <w:bCs/>
                <w:color w:val="000000"/>
              </w:rPr>
              <w:t>5.8</w:t>
            </w:r>
          </w:p>
        </w:tc>
        <w:tc>
          <w:tcPr>
            <w:tcW w:w="821" w:type="dxa"/>
            <w:tcBorders>
              <w:top w:val="nil"/>
              <w:left w:val="nil"/>
              <w:bottom w:val="nil"/>
              <w:right w:val="nil"/>
            </w:tcBorders>
            <w:shd w:val="clear" w:color="000000" w:fill="FFFFFF"/>
            <w:noWrap/>
            <w:vAlign w:val="bottom"/>
            <w:hideMark/>
          </w:tcPr>
          <w:p w:rsidR="003E15D6" w:rsidRDefault="003E15D6" w:rsidP="003E15D6">
            <w:pPr>
              <w:jc w:val="right"/>
              <w:rPr>
                <w:b/>
                <w:bCs/>
                <w:color w:val="000000"/>
              </w:rPr>
            </w:pPr>
            <w:r>
              <w:rPr>
                <w:b/>
                <w:bCs/>
                <w:color w:val="000000"/>
              </w:rPr>
              <w:t>5.9</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ind w:firstLineChars="200" w:firstLine="440"/>
              <w:rPr>
                <w:color w:val="000000"/>
                <w:sz w:val="22"/>
                <w:szCs w:val="22"/>
              </w:rPr>
            </w:pPr>
            <w:r>
              <w:rPr>
                <w:color w:val="000000"/>
                <w:sz w:val="22"/>
                <w:szCs w:val="22"/>
              </w:rPr>
              <w:t>China</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6.6</w:t>
            </w:r>
          </w:p>
        </w:tc>
        <w:tc>
          <w:tcPr>
            <w:tcW w:w="751" w:type="dxa"/>
            <w:tcBorders>
              <w:top w:val="nil"/>
              <w:left w:val="nil"/>
              <w:bottom w:val="nil"/>
              <w:right w:val="nil"/>
            </w:tcBorders>
            <w:shd w:val="clear" w:color="000000" w:fill="FFFFFF"/>
            <w:noWrap/>
            <w:vAlign w:val="bottom"/>
            <w:hideMark/>
          </w:tcPr>
          <w:p w:rsidR="003E15D6" w:rsidRDefault="003E15D6" w:rsidP="003E15D6">
            <w:pPr>
              <w:jc w:val="center"/>
              <w:rPr>
                <w:color w:val="000000"/>
                <w:sz w:val="22"/>
                <w:szCs w:val="22"/>
              </w:rPr>
            </w:pPr>
            <w:r>
              <w:rPr>
                <w:color w:val="000000"/>
                <w:sz w:val="22"/>
                <w:szCs w:val="22"/>
              </w:rPr>
              <w:t>6.1</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6.0</w:t>
            </w:r>
          </w:p>
        </w:tc>
        <w:tc>
          <w:tcPr>
            <w:tcW w:w="821" w:type="dxa"/>
            <w:tcBorders>
              <w:top w:val="nil"/>
              <w:left w:val="nil"/>
              <w:bottom w:val="nil"/>
              <w:right w:val="nil"/>
            </w:tcBorders>
            <w:shd w:val="clear" w:color="000000" w:fill="FFFFFF"/>
            <w:noWrap/>
            <w:vAlign w:val="bottom"/>
            <w:hideMark/>
          </w:tcPr>
          <w:p w:rsidR="003E15D6" w:rsidRDefault="003E15D6" w:rsidP="003E15D6">
            <w:pPr>
              <w:jc w:val="right"/>
              <w:rPr>
                <w:color w:val="000000"/>
              </w:rPr>
            </w:pPr>
            <w:r>
              <w:rPr>
                <w:color w:val="000000"/>
              </w:rPr>
              <w:t>5.8</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ind w:firstLineChars="200" w:firstLine="440"/>
              <w:rPr>
                <w:color w:val="000000"/>
                <w:sz w:val="22"/>
                <w:szCs w:val="22"/>
              </w:rPr>
            </w:pPr>
            <w:r>
              <w:rPr>
                <w:color w:val="000000"/>
                <w:sz w:val="22"/>
                <w:szCs w:val="22"/>
              </w:rPr>
              <w:t xml:space="preserve">India </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6.8</w:t>
            </w:r>
          </w:p>
        </w:tc>
        <w:tc>
          <w:tcPr>
            <w:tcW w:w="751" w:type="dxa"/>
            <w:tcBorders>
              <w:top w:val="nil"/>
              <w:left w:val="nil"/>
              <w:bottom w:val="nil"/>
              <w:right w:val="nil"/>
            </w:tcBorders>
            <w:shd w:val="clear" w:color="000000" w:fill="FFFFFF"/>
            <w:noWrap/>
            <w:vAlign w:val="bottom"/>
            <w:hideMark/>
          </w:tcPr>
          <w:p w:rsidR="003E15D6" w:rsidRDefault="003E15D6" w:rsidP="003E15D6">
            <w:pPr>
              <w:jc w:val="center"/>
              <w:rPr>
                <w:color w:val="000000"/>
                <w:sz w:val="22"/>
                <w:szCs w:val="22"/>
              </w:rPr>
            </w:pPr>
            <w:r>
              <w:rPr>
                <w:color w:val="000000"/>
                <w:sz w:val="22"/>
                <w:szCs w:val="22"/>
              </w:rPr>
              <w:t>4.8</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5.8</w:t>
            </w:r>
          </w:p>
        </w:tc>
        <w:tc>
          <w:tcPr>
            <w:tcW w:w="821" w:type="dxa"/>
            <w:tcBorders>
              <w:top w:val="nil"/>
              <w:left w:val="nil"/>
              <w:bottom w:val="nil"/>
              <w:right w:val="nil"/>
            </w:tcBorders>
            <w:shd w:val="clear" w:color="000000" w:fill="FFFFFF"/>
            <w:noWrap/>
            <w:vAlign w:val="bottom"/>
            <w:hideMark/>
          </w:tcPr>
          <w:p w:rsidR="003E15D6" w:rsidRDefault="003E15D6" w:rsidP="003E15D6">
            <w:pPr>
              <w:jc w:val="right"/>
              <w:rPr>
                <w:color w:val="000000"/>
              </w:rPr>
            </w:pPr>
            <w:r>
              <w:rPr>
                <w:color w:val="000000"/>
              </w:rPr>
              <w:t>5.9</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rPr>
                <w:color w:val="000000"/>
              </w:rPr>
            </w:pPr>
            <w:r>
              <w:rPr>
                <w:color w:val="000000"/>
              </w:rPr>
              <w:t> </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rPr>
            </w:pPr>
            <w:r>
              <w:rPr>
                <w:color w:val="000000"/>
              </w:rPr>
              <w:t> </w:t>
            </w:r>
          </w:p>
        </w:tc>
        <w:tc>
          <w:tcPr>
            <w:tcW w:w="751" w:type="dxa"/>
            <w:tcBorders>
              <w:top w:val="nil"/>
              <w:left w:val="nil"/>
              <w:bottom w:val="nil"/>
              <w:right w:val="nil"/>
            </w:tcBorders>
            <w:shd w:val="clear" w:color="000000" w:fill="FFFFFF"/>
            <w:noWrap/>
            <w:vAlign w:val="bottom"/>
            <w:hideMark/>
          </w:tcPr>
          <w:p w:rsidR="003E15D6" w:rsidRDefault="003E15D6" w:rsidP="003E15D6">
            <w:pPr>
              <w:jc w:val="center"/>
              <w:rPr>
                <w:color w:val="000000"/>
              </w:rPr>
            </w:pPr>
            <w:r>
              <w:rPr>
                <w:color w:val="000000"/>
              </w:rPr>
              <w:t> </w:t>
            </w:r>
          </w:p>
        </w:tc>
        <w:tc>
          <w:tcPr>
            <w:tcW w:w="821" w:type="dxa"/>
            <w:tcBorders>
              <w:top w:val="nil"/>
              <w:left w:val="nil"/>
              <w:bottom w:val="nil"/>
              <w:right w:val="nil"/>
            </w:tcBorders>
            <w:shd w:val="clear" w:color="000000" w:fill="auto"/>
            <w:noWrap/>
            <w:vAlign w:val="bottom"/>
            <w:hideMark/>
          </w:tcPr>
          <w:p w:rsidR="003E15D6" w:rsidRDefault="003E15D6" w:rsidP="003E15D6">
            <w:pPr>
              <w:rPr>
                <w:color w:val="000000"/>
              </w:rPr>
            </w:pPr>
            <w:r>
              <w:rPr>
                <w:color w:val="000000"/>
              </w:rPr>
              <w:t> </w:t>
            </w:r>
          </w:p>
        </w:tc>
        <w:tc>
          <w:tcPr>
            <w:tcW w:w="821" w:type="dxa"/>
            <w:tcBorders>
              <w:top w:val="nil"/>
              <w:left w:val="nil"/>
              <w:bottom w:val="nil"/>
              <w:right w:val="nil"/>
            </w:tcBorders>
            <w:shd w:val="clear" w:color="000000" w:fill="FFFFFF"/>
            <w:noWrap/>
            <w:vAlign w:val="bottom"/>
            <w:hideMark/>
          </w:tcPr>
          <w:p w:rsidR="003E15D6" w:rsidRDefault="003E15D6" w:rsidP="003E15D6">
            <w:pPr>
              <w:rPr>
                <w:color w:val="000000"/>
              </w:rPr>
            </w:pPr>
            <w:r>
              <w:rPr>
                <w:color w:val="000000"/>
              </w:rPr>
              <w:t> </w:t>
            </w:r>
          </w:p>
        </w:tc>
      </w:tr>
      <w:tr w:rsidR="003E15D6" w:rsidRPr="00CC7E0D"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9E47B7">
            <w:pPr>
              <w:rPr>
                <w:b/>
                <w:bCs/>
                <w:color w:val="000000"/>
              </w:rPr>
            </w:pPr>
            <w:r>
              <w:rPr>
                <w:b/>
                <w:bCs/>
                <w:color w:val="000000"/>
              </w:rPr>
              <w:t xml:space="preserve">América Latina y </w:t>
            </w:r>
            <w:r w:rsidR="009E47B7">
              <w:rPr>
                <w:b/>
                <w:bCs/>
                <w:color w:val="000000"/>
              </w:rPr>
              <w:t>E</w:t>
            </w:r>
            <w:r>
              <w:rPr>
                <w:b/>
                <w:bCs/>
                <w:color w:val="000000"/>
              </w:rPr>
              <w:t>l Caribe</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b/>
                <w:bCs/>
                <w:color w:val="000000"/>
              </w:rPr>
            </w:pPr>
            <w:r>
              <w:rPr>
                <w:b/>
                <w:bCs/>
                <w:color w:val="000000"/>
              </w:rPr>
              <w:t>1.7</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b/>
                <w:bCs/>
                <w:color w:val="000000"/>
              </w:rPr>
            </w:pPr>
            <w:r>
              <w:rPr>
                <w:b/>
                <w:bCs/>
                <w:color w:val="000000"/>
              </w:rPr>
              <w:t>0.8</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b/>
                <w:bCs/>
                <w:color w:val="000000"/>
              </w:rPr>
            </w:pPr>
            <w:r>
              <w:rPr>
                <w:b/>
                <w:bCs/>
                <w:color w:val="000000"/>
              </w:rPr>
              <w:t>1.8</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b/>
                <w:bCs/>
                <w:color w:val="000000"/>
              </w:rPr>
            </w:pPr>
            <w:r>
              <w:rPr>
                <w:b/>
                <w:bCs/>
                <w:color w:val="000000"/>
              </w:rPr>
              <w:t>2.4</w:t>
            </w:r>
          </w:p>
        </w:tc>
      </w:tr>
      <w:tr w:rsidR="003E15D6" w:rsidRPr="00342AAF" w:rsidTr="003E15D6">
        <w:trPr>
          <w:trHeight w:val="286"/>
        </w:trPr>
        <w:tc>
          <w:tcPr>
            <w:tcW w:w="5951" w:type="dxa"/>
            <w:tcBorders>
              <w:top w:val="nil"/>
              <w:left w:val="nil"/>
              <w:bottom w:val="nil"/>
              <w:right w:val="nil"/>
            </w:tcBorders>
            <w:shd w:val="clear" w:color="000000" w:fill="auto"/>
            <w:noWrap/>
            <w:vAlign w:val="bottom"/>
            <w:hideMark/>
          </w:tcPr>
          <w:p w:rsidR="003E15D6" w:rsidRDefault="003E15D6" w:rsidP="003E15D6">
            <w:pPr>
              <w:ind w:firstLineChars="200" w:firstLine="440"/>
              <w:rPr>
                <w:color w:val="000000"/>
                <w:sz w:val="22"/>
                <w:szCs w:val="22"/>
              </w:rPr>
            </w:pPr>
            <w:r>
              <w:rPr>
                <w:color w:val="000000"/>
                <w:sz w:val="22"/>
                <w:szCs w:val="22"/>
              </w:rPr>
              <w:t>Brasil</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1.3</w:t>
            </w:r>
          </w:p>
        </w:tc>
        <w:tc>
          <w:tcPr>
            <w:tcW w:w="751" w:type="dxa"/>
            <w:tcBorders>
              <w:top w:val="nil"/>
              <w:left w:val="nil"/>
              <w:bottom w:val="nil"/>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1.2</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2.2</w:t>
            </w:r>
          </w:p>
        </w:tc>
        <w:tc>
          <w:tcPr>
            <w:tcW w:w="821" w:type="dxa"/>
            <w:tcBorders>
              <w:top w:val="nil"/>
              <w:left w:val="nil"/>
              <w:bottom w:val="nil"/>
              <w:right w:val="nil"/>
            </w:tcBorders>
            <w:shd w:val="clear" w:color="000000" w:fill="auto"/>
            <w:noWrap/>
            <w:vAlign w:val="bottom"/>
            <w:hideMark/>
          </w:tcPr>
          <w:p w:rsidR="003E15D6" w:rsidRDefault="003E15D6" w:rsidP="003E15D6">
            <w:pPr>
              <w:jc w:val="right"/>
              <w:rPr>
                <w:color w:val="000000"/>
              </w:rPr>
            </w:pPr>
            <w:r>
              <w:rPr>
                <w:color w:val="000000"/>
              </w:rPr>
              <w:t>2.3</w:t>
            </w:r>
          </w:p>
        </w:tc>
      </w:tr>
      <w:tr w:rsidR="003E15D6" w:rsidRPr="00342AAF" w:rsidTr="003E15D6">
        <w:trPr>
          <w:trHeight w:val="286"/>
        </w:trPr>
        <w:tc>
          <w:tcPr>
            <w:tcW w:w="5951" w:type="dxa"/>
            <w:tcBorders>
              <w:top w:val="nil"/>
              <w:left w:val="nil"/>
              <w:bottom w:val="single" w:sz="12" w:space="0" w:color="auto"/>
              <w:right w:val="nil"/>
            </w:tcBorders>
            <w:shd w:val="clear" w:color="000000" w:fill="auto"/>
            <w:noWrap/>
            <w:vAlign w:val="bottom"/>
            <w:hideMark/>
          </w:tcPr>
          <w:p w:rsidR="003E15D6" w:rsidRDefault="003E15D6" w:rsidP="003E15D6">
            <w:pPr>
              <w:ind w:firstLineChars="200" w:firstLine="440"/>
              <w:rPr>
                <w:color w:val="000000"/>
                <w:sz w:val="22"/>
                <w:szCs w:val="22"/>
              </w:rPr>
            </w:pPr>
            <w:r>
              <w:rPr>
                <w:color w:val="000000"/>
                <w:sz w:val="22"/>
                <w:szCs w:val="22"/>
              </w:rPr>
              <w:t>México</w:t>
            </w:r>
          </w:p>
        </w:tc>
        <w:tc>
          <w:tcPr>
            <w:tcW w:w="751" w:type="dxa"/>
            <w:tcBorders>
              <w:top w:val="nil"/>
              <w:left w:val="nil"/>
              <w:bottom w:val="single" w:sz="12" w:space="0" w:color="auto"/>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2.1</w:t>
            </w:r>
          </w:p>
        </w:tc>
        <w:tc>
          <w:tcPr>
            <w:tcW w:w="751" w:type="dxa"/>
            <w:tcBorders>
              <w:top w:val="nil"/>
              <w:left w:val="nil"/>
              <w:bottom w:val="single" w:sz="12" w:space="0" w:color="auto"/>
              <w:right w:val="nil"/>
            </w:tcBorders>
            <w:shd w:val="clear" w:color="000000" w:fill="auto"/>
            <w:noWrap/>
            <w:vAlign w:val="bottom"/>
            <w:hideMark/>
          </w:tcPr>
          <w:p w:rsidR="003E15D6" w:rsidRDefault="003E15D6" w:rsidP="003E15D6">
            <w:pPr>
              <w:jc w:val="center"/>
              <w:rPr>
                <w:color w:val="000000"/>
                <w:sz w:val="22"/>
                <w:szCs w:val="22"/>
              </w:rPr>
            </w:pPr>
            <w:r>
              <w:rPr>
                <w:color w:val="000000"/>
                <w:sz w:val="22"/>
                <w:szCs w:val="22"/>
              </w:rPr>
              <w:t>0.0</w:t>
            </w:r>
          </w:p>
        </w:tc>
        <w:tc>
          <w:tcPr>
            <w:tcW w:w="821" w:type="dxa"/>
            <w:tcBorders>
              <w:top w:val="nil"/>
              <w:left w:val="nil"/>
              <w:bottom w:val="single" w:sz="12" w:space="0" w:color="auto"/>
              <w:right w:val="nil"/>
            </w:tcBorders>
            <w:shd w:val="clear" w:color="000000" w:fill="auto"/>
            <w:noWrap/>
            <w:vAlign w:val="bottom"/>
            <w:hideMark/>
          </w:tcPr>
          <w:p w:rsidR="003E15D6" w:rsidRDefault="003E15D6" w:rsidP="003E15D6">
            <w:pPr>
              <w:jc w:val="right"/>
              <w:rPr>
                <w:color w:val="000000"/>
              </w:rPr>
            </w:pPr>
            <w:r>
              <w:rPr>
                <w:color w:val="000000"/>
              </w:rPr>
              <w:t>1</w:t>
            </w:r>
            <w:r w:rsidR="009E47B7">
              <w:rPr>
                <w:color w:val="000000"/>
              </w:rPr>
              <w:t>.0</w:t>
            </w:r>
          </w:p>
        </w:tc>
        <w:tc>
          <w:tcPr>
            <w:tcW w:w="821" w:type="dxa"/>
            <w:tcBorders>
              <w:top w:val="nil"/>
              <w:left w:val="nil"/>
              <w:bottom w:val="single" w:sz="12" w:space="0" w:color="auto"/>
              <w:right w:val="nil"/>
            </w:tcBorders>
            <w:shd w:val="clear" w:color="000000" w:fill="auto"/>
            <w:noWrap/>
            <w:vAlign w:val="bottom"/>
            <w:hideMark/>
          </w:tcPr>
          <w:p w:rsidR="003E15D6" w:rsidRDefault="003E15D6" w:rsidP="003E15D6">
            <w:pPr>
              <w:jc w:val="right"/>
              <w:rPr>
                <w:color w:val="000000"/>
              </w:rPr>
            </w:pPr>
            <w:r>
              <w:rPr>
                <w:color w:val="000000"/>
              </w:rPr>
              <w:t>1.6</w:t>
            </w:r>
          </w:p>
        </w:tc>
      </w:tr>
      <w:tr w:rsidR="003E15D6" w:rsidRPr="00CC7E0D" w:rsidTr="003E15D6">
        <w:trPr>
          <w:trHeight w:val="383"/>
        </w:trPr>
        <w:tc>
          <w:tcPr>
            <w:tcW w:w="9095" w:type="dxa"/>
            <w:gridSpan w:val="5"/>
            <w:tcBorders>
              <w:top w:val="nil"/>
              <w:left w:val="nil"/>
              <w:bottom w:val="nil"/>
              <w:right w:val="nil"/>
            </w:tcBorders>
            <w:shd w:val="clear" w:color="000000" w:fill="auto"/>
            <w:vAlign w:val="bottom"/>
            <w:hideMark/>
          </w:tcPr>
          <w:p w:rsidR="003E15D6" w:rsidRDefault="003E15D6" w:rsidP="003E15D6">
            <w:pPr>
              <w:rPr>
                <w:bCs/>
                <w:color w:val="000000"/>
                <w:sz w:val="18"/>
                <w:szCs w:val="20"/>
                <w:lang w:val="es-GT" w:eastAsia="es-GT"/>
              </w:rPr>
            </w:pPr>
            <w:r w:rsidRPr="00CC7E0D">
              <w:rPr>
                <w:bCs/>
                <w:color w:val="000000"/>
                <w:sz w:val="18"/>
                <w:szCs w:val="20"/>
                <w:lang w:val="es-GT" w:eastAsia="es-GT"/>
              </w:rPr>
              <w:t xml:space="preserve">Fuente: Fondo Monetario Internacional </w:t>
            </w:r>
            <w:r w:rsidR="009E47B7">
              <w:rPr>
                <w:bCs/>
                <w:color w:val="000000"/>
                <w:sz w:val="18"/>
                <w:szCs w:val="20"/>
                <w:lang w:val="es-GT" w:eastAsia="es-GT"/>
              </w:rPr>
              <w:t>(</w:t>
            </w:r>
            <w:r w:rsidRPr="00CC7E0D">
              <w:rPr>
                <w:bCs/>
                <w:color w:val="000000"/>
                <w:sz w:val="18"/>
                <w:szCs w:val="20"/>
                <w:lang w:val="es-GT" w:eastAsia="es-GT"/>
              </w:rPr>
              <w:t>FMI</w:t>
            </w:r>
            <w:r w:rsidR="009E47B7">
              <w:rPr>
                <w:bCs/>
                <w:color w:val="000000"/>
                <w:sz w:val="18"/>
                <w:szCs w:val="20"/>
                <w:lang w:val="es-GT" w:eastAsia="es-GT"/>
              </w:rPr>
              <w:t>),</w:t>
            </w:r>
            <w:r w:rsidRPr="00CC7E0D">
              <w:rPr>
                <w:bCs/>
                <w:color w:val="000000"/>
                <w:sz w:val="18"/>
                <w:szCs w:val="20"/>
                <w:lang w:val="es-GT" w:eastAsia="es-GT"/>
              </w:rPr>
              <w:t xml:space="preserve"> "Actualización del </w:t>
            </w:r>
            <w:r w:rsidR="00981DC6">
              <w:rPr>
                <w:bCs/>
                <w:color w:val="000000"/>
                <w:sz w:val="18"/>
                <w:szCs w:val="20"/>
                <w:lang w:val="es-GT" w:eastAsia="es-GT"/>
              </w:rPr>
              <w:t>I</w:t>
            </w:r>
            <w:r w:rsidRPr="00CC7E0D">
              <w:rPr>
                <w:bCs/>
                <w:color w:val="000000"/>
                <w:sz w:val="18"/>
                <w:szCs w:val="20"/>
                <w:lang w:val="es-GT" w:eastAsia="es-GT"/>
              </w:rPr>
              <w:t>nforme WEO, enero de 20</w:t>
            </w:r>
            <w:r>
              <w:rPr>
                <w:bCs/>
                <w:color w:val="000000"/>
                <w:sz w:val="18"/>
                <w:szCs w:val="20"/>
                <w:lang w:val="es-GT" w:eastAsia="es-GT"/>
              </w:rPr>
              <w:t>20</w:t>
            </w:r>
            <w:r w:rsidRPr="00CC7E0D">
              <w:rPr>
                <w:bCs/>
                <w:color w:val="000000"/>
                <w:sz w:val="18"/>
                <w:szCs w:val="20"/>
                <w:lang w:val="es-GT" w:eastAsia="es-GT"/>
              </w:rPr>
              <w:t>".</w:t>
            </w:r>
          </w:p>
          <w:p w:rsidR="009E47B7" w:rsidRPr="00CC7E0D" w:rsidRDefault="009E47B7" w:rsidP="003E15D6">
            <w:pPr>
              <w:rPr>
                <w:bCs/>
                <w:color w:val="000000"/>
                <w:sz w:val="18"/>
                <w:szCs w:val="20"/>
                <w:lang w:val="es-GT" w:eastAsia="es-GT"/>
              </w:rPr>
            </w:pPr>
            <w:r>
              <w:rPr>
                <w:bCs/>
                <w:color w:val="000000"/>
                <w:sz w:val="18"/>
                <w:szCs w:val="20"/>
                <w:lang w:val="es-GT" w:eastAsia="es-GT"/>
              </w:rPr>
              <w:t>p/ proyectado.</w:t>
            </w:r>
          </w:p>
        </w:tc>
      </w:tr>
    </w:tbl>
    <w:p w:rsidR="003E15D6" w:rsidRPr="0082029F" w:rsidRDefault="003E15D6" w:rsidP="003E15D6">
      <w:pPr>
        <w:pStyle w:val="Default"/>
        <w:jc w:val="both"/>
        <w:rPr>
          <w:rFonts w:ascii="Times New Roman" w:hAnsi="Times New Roman" w:cs="Times New Roman"/>
          <w:color w:val="auto"/>
          <w:lang w:val="es-GT"/>
        </w:rPr>
      </w:pPr>
    </w:p>
    <w:p w:rsidR="003E15D6" w:rsidRDefault="003E15D6" w:rsidP="003E15D6">
      <w:pPr>
        <w:autoSpaceDE w:val="0"/>
        <w:autoSpaceDN w:val="0"/>
        <w:adjustRightInd w:val="0"/>
        <w:jc w:val="both"/>
      </w:pPr>
    </w:p>
    <w:p w:rsidR="003E15D6" w:rsidRDefault="003E15D6" w:rsidP="003E15D6">
      <w:pPr>
        <w:autoSpaceDE w:val="0"/>
        <w:autoSpaceDN w:val="0"/>
        <w:adjustRightInd w:val="0"/>
        <w:jc w:val="both"/>
      </w:pPr>
    </w:p>
    <w:p w:rsidR="003E15D6" w:rsidRPr="00124AD6" w:rsidRDefault="003E15D6" w:rsidP="003E15D6">
      <w:pPr>
        <w:pStyle w:val="Ttulo1"/>
        <w:rPr>
          <w:lang w:val="es-MX"/>
        </w:rPr>
      </w:pPr>
      <w:bookmarkStart w:id="3" w:name="_Toc32829784"/>
      <w:r w:rsidRPr="00124AD6">
        <w:rPr>
          <w:lang w:val="es-MX"/>
        </w:rPr>
        <w:lastRenderedPageBreak/>
        <w:t>Perspectivas Económicas</w:t>
      </w:r>
      <w:bookmarkEnd w:id="3"/>
    </w:p>
    <w:p w:rsidR="003E15D6" w:rsidRPr="00255B7C" w:rsidRDefault="003E15D6" w:rsidP="003E15D6">
      <w:pPr>
        <w:rPr>
          <w:lang w:val="es-MX"/>
        </w:rPr>
      </w:pPr>
    </w:p>
    <w:p w:rsidR="003E15D6" w:rsidRDefault="003E15D6" w:rsidP="003E15D6">
      <w:pPr>
        <w:autoSpaceDE w:val="0"/>
        <w:autoSpaceDN w:val="0"/>
        <w:adjustRightInd w:val="0"/>
        <w:jc w:val="both"/>
      </w:pPr>
      <w:r>
        <w:t>En Estados Unidos se prevé que el crecimiento se modere de 2.3% en 2019 a 2</w:t>
      </w:r>
      <w:r w:rsidR="00A21580">
        <w:t>.0</w:t>
      </w:r>
      <w:r>
        <w:t xml:space="preserve">% en 2020 y luego a 1.7% en 2021. La moderación obedece a un retorno </w:t>
      </w:r>
      <w:r w:rsidR="00A21580">
        <w:t>por</w:t>
      </w:r>
      <w:r>
        <w:t xml:space="preserve"> una orientación fiscal neutral y el impulso cada vez menor derivado del relajamiento de las condiciones financieras.</w:t>
      </w:r>
    </w:p>
    <w:p w:rsidR="003E15D6" w:rsidRPr="00255B7C" w:rsidRDefault="003E15D6" w:rsidP="003E15D6">
      <w:pPr>
        <w:autoSpaceDE w:val="0"/>
        <w:autoSpaceDN w:val="0"/>
        <w:adjustRightInd w:val="0"/>
        <w:jc w:val="both"/>
      </w:pPr>
    </w:p>
    <w:p w:rsidR="003E15D6" w:rsidRPr="003745E2" w:rsidRDefault="003E15D6" w:rsidP="003E15D6">
      <w:pPr>
        <w:autoSpaceDE w:val="0"/>
        <w:autoSpaceDN w:val="0"/>
        <w:adjustRightInd w:val="0"/>
        <w:jc w:val="both"/>
      </w:pPr>
      <w:r>
        <w:t>En la Zona del Euro, se proyecta que el crecimiento repuntará de 1.2% en 2019 a 1.3% en 2020 (una revisión a la baja de 0.1 puntos porcentuales) y a 1.4</w:t>
      </w:r>
      <w:r w:rsidR="00A21580">
        <w:t>%</w:t>
      </w:r>
      <w:r>
        <w:t xml:space="preserve"> en 2021. Las mejoras proyectadas de la demanda externa facilitan el afianzamiento previsto del crecimiento. Las proyecciones para Francia e Italia no han variado</w:t>
      </w:r>
      <w:r w:rsidR="00A21580">
        <w:t>;</w:t>
      </w:r>
      <w:r>
        <w:t xml:space="preserve"> se han revisado a la baja las proyecciones de 2020 para Alemania, donde la actividad manufacturera aún estaba en terreno contractivo a finales de 2019, y para España, debido a las secuelas de una desaceleración más marcada de lo previsto de la demanda interna y de las exportaciones en 2019. En el Reino Unido se espera que el crecimiento se estabilice en 1.4% en 2020 y que suba a 1.5% en 2021. El pronóstico de crecimiento supone una salida ordena de la Unión Europea </w:t>
      </w:r>
      <w:r w:rsidR="00A21580">
        <w:t>a</w:t>
      </w:r>
      <w:r>
        <w:t>l 31 de enero, seguida de una transición gradual hacia una nueva relación económica</w:t>
      </w:r>
      <w:r w:rsidRPr="003745E2">
        <w:t>.</w:t>
      </w:r>
    </w:p>
    <w:p w:rsidR="003E15D6" w:rsidRPr="00255B7C" w:rsidRDefault="003E15D6" w:rsidP="003E15D6">
      <w:pPr>
        <w:autoSpaceDE w:val="0"/>
        <w:autoSpaceDN w:val="0"/>
        <w:adjustRightInd w:val="0"/>
        <w:jc w:val="both"/>
      </w:pPr>
    </w:p>
    <w:p w:rsidR="003E15D6" w:rsidRPr="00436A82" w:rsidRDefault="003E15D6" w:rsidP="003E15D6">
      <w:pPr>
        <w:pStyle w:val="Default"/>
        <w:jc w:val="both"/>
        <w:rPr>
          <w:rFonts w:ascii="Times New Roman" w:hAnsi="Times New Roman" w:cs="Times New Roman"/>
          <w:color w:val="auto"/>
        </w:rPr>
      </w:pPr>
      <w:r w:rsidRPr="001E302E">
        <w:rPr>
          <w:rFonts w:ascii="Times New Roman" w:hAnsi="Times New Roman" w:cs="Times New Roman"/>
          <w:color w:val="auto"/>
        </w:rPr>
        <w:t xml:space="preserve">Las condiciones financieras en los mercados emergentes </w:t>
      </w:r>
      <w:r w:rsidRPr="00436A82">
        <w:rPr>
          <w:rFonts w:ascii="Times New Roman" w:hAnsi="Times New Roman" w:cs="Times New Roman"/>
          <w:color w:val="auto"/>
        </w:rPr>
        <w:t>se prevé que el crecimiento aumente a 4</w:t>
      </w:r>
      <w:r w:rsidR="00BB1D2D">
        <w:rPr>
          <w:rFonts w:ascii="Times New Roman" w:hAnsi="Times New Roman" w:cs="Times New Roman"/>
          <w:color w:val="auto"/>
        </w:rPr>
        <w:t>.</w:t>
      </w:r>
      <w:r w:rsidRPr="00436A82">
        <w:rPr>
          <w:rFonts w:ascii="Times New Roman" w:hAnsi="Times New Roman" w:cs="Times New Roman"/>
          <w:color w:val="auto"/>
        </w:rPr>
        <w:t>4% en 2020 y a 4</w:t>
      </w:r>
      <w:r w:rsidR="00BB1D2D">
        <w:rPr>
          <w:rFonts w:ascii="Times New Roman" w:hAnsi="Times New Roman" w:cs="Times New Roman"/>
          <w:color w:val="auto"/>
        </w:rPr>
        <w:t>.</w:t>
      </w:r>
      <w:r w:rsidRPr="00436A82">
        <w:rPr>
          <w:rFonts w:ascii="Times New Roman" w:hAnsi="Times New Roman" w:cs="Times New Roman"/>
          <w:color w:val="auto"/>
        </w:rPr>
        <w:t>6% en 2021, desde un nivel estimado de 3</w:t>
      </w:r>
      <w:r w:rsidR="00BB1D2D">
        <w:rPr>
          <w:rFonts w:ascii="Times New Roman" w:hAnsi="Times New Roman" w:cs="Times New Roman"/>
          <w:color w:val="auto"/>
        </w:rPr>
        <w:t>.</w:t>
      </w:r>
      <w:r w:rsidRPr="00436A82">
        <w:rPr>
          <w:rFonts w:ascii="Times New Roman" w:hAnsi="Times New Roman" w:cs="Times New Roman"/>
          <w:color w:val="auto"/>
        </w:rPr>
        <w:t>7% en 2019. El perfil de crecimiento para el grupo refleja una combinación de las recuperaciones proyectadas tras profundas desaceleraciones en las economías de mercados emergentes que han soportado tensiones y han tenido desempeños deficientes, y la desaceleración estructural que está ocurriendo en China.</w:t>
      </w:r>
    </w:p>
    <w:p w:rsidR="003E15D6" w:rsidRPr="00053842" w:rsidRDefault="003E15D6" w:rsidP="003E15D6">
      <w:pPr>
        <w:pStyle w:val="Default"/>
        <w:jc w:val="both"/>
        <w:rPr>
          <w:rFonts w:ascii="Times New Roman" w:hAnsi="Times New Roman" w:cs="Times New Roman"/>
          <w:color w:val="auto"/>
          <w:sz w:val="28"/>
        </w:rPr>
      </w:pPr>
    </w:p>
    <w:p w:rsidR="003E15D6" w:rsidRDefault="003E15D6" w:rsidP="003E15D6">
      <w:pPr>
        <w:pStyle w:val="Default"/>
        <w:jc w:val="both"/>
        <w:rPr>
          <w:rFonts w:ascii="Times New Roman" w:hAnsi="Times New Roman" w:cs="Times New Roman"/>
          <w:color w:val="auto"/>
        </w:rPr>
      </w:pPr>
      <w:r w:rsidRPr="00436A82">
        <w:rPr>
          <w:rFonts w:ascii="Times New Roman" w:hAnsi="Times New Roman" w:cs="Times New Roman"/>
          <w:color w:val="auto"/>
        </w:rPr>
        <w:t>Para las economías emergentes y en desarrollo de Asia se pronostican leves aumentos del crecimiento, de 5</w:t>
      </w:r>
      <w:r>
        <w:rPr>
          <w:rFonts w:ascii="Times New Roman" w:hAnsi="Times New Roman" w:cs="Times New Roman"/>
          <w:color w:val="auto"/>
        </w:rPr>
        <w:t>.</w:t>
      </w:r>
      <w:r w:rsidR="00BB1D2D">
        <w:rPr>
          <w:rFonts w:ascii="Times New Roman" w:hAnsi="Times New Roman" w:cs="Times New Roman"/>
          <w:color w:val="auto"/>
        </w:rPr>
        <w:t>8</w:t>
      </w:r>
      <w:r w:rsidRPr="00436A82">
        <w:rPr>
          <w:rFonts w:ascii="Times New Roman" w:hAnsi="Times New Roman" w:cs="Times New Roman"/>
          <w:color w:val="auto"/>
        </w:rPr>
        <w:t>% en 2019 a 5</w:t>
      </w:r>
      <w:r>
        <w:rPr>
          <w:rFonts w:ascii="Times New Roman" w:hAnsi="Times New Roman" w:cs="Times New Roman"/>
          <w:color w:val="auto"/>
        </w:rPr>
        <w:t>.</w:t>
      </w:r>
      <w:r w:rsidRPr="00436A82">
        <w:rPr>
          <w:rFonts w:ascii="Times New Roman" w:hAnsi="Times New Roman" w:cs="Times New Roman"/>
          <w:color w:val="auto"/>
        </w:rPr>
        <w:t>8% en 2020 y 5</w:t>
      </w:r>
      <w:r>
        <w:rPr>
          <w:rFonts w:ascii="Times New Roman" w:hAnsi="Times New Roman" w:cs="Times New Roman"/>
          <w:color w:val="auto"/>
        </w:rPr>
        <w:t>.</w:t>
      </w:r>
      <w:r w:rsidRPr="00436A82">
        <w:rPr>
          <w:rFonts w:ascii="Times New Roman" w:hAnsi="Times New Roman" w:cs="Times New Roman"/>
          <w:color w:val="auto"/>
        </w:rPr>
        <w:t>9% en 2021. El r</w:t>
      </w:r>
      <w:r w:rsidR="00BB1D2D">
        <w:rPr>
          <w:rFonts w:ascii="Times New Roman" w:hAnsi="Times New Roman" w:cs="Times New Roman"/>
          <w:color w:val="auto"/>
        </w:rPr>
        <w:t>itmo</w:t>
      </w:r>
      <w:r w:rsidRPr="00436A82">
        <w:rPr>
          <w:rFonts w:ascii="Times New Roman" w:hAnsi="Times New Roman" w:cs="Times New Roman"/>
          <w:color w:val="auto"/>
        </w:rPr>
        <w:t xml:space="preserve"> de crecimiento obedece mayormente a una revisión a la baja de la proyección para India, donde la demanda interna se ha desacelerado más marcadamente de lo previsto, en medio de tensiones en el sector financiero no bancario y un menor crecimiento del crédito. Se estima que el crecimiento de India en 2019 se sitúe en 4</w:t>
      </w:r>
      <w:r>
        <w:rPr>
          <w:rFonts w:ascii="Times New Roman" w:hAnsi="Times New Roman" w:cs="Times New Roman"/>
          <w:color w:val="auto"/>
        </w:rPr>
        <w:t>.</w:t>
      </w:r>
      <w:r w:rsidRPr="00436A82">
        <w:rPr>
          <w:rFonts w:ascii="Times New Roman" w:hAnsi="Times New Roman" w:cs="Times New Roman"/>
          <w:color w:val="auto"/>
        </w:rPr>
        <w:t>8%, y se proyecta que mejore a 5</w:t>
      </w:r>
      <w:r>
        <w:rPr>
          <w:rFonts w:ascii="Times New Roman" w:hAnsi="Times New Roman" w:cs="Times New Roman"/>
          <w:color w:val="auto"/>
        </w:rPr>
        <w:t>.</w:t>
      </w:r>
      <w:r w:rsidRPr="00436A82">
        <w:rPr>
          <w:rFonts w:ascii="Times New Roman" w:hAnsi="Times New Roman" w:cs="Times New Roman"/>
          <w:color w:val="auto"/>
        </w:rPr>
        <w:t xml:space="preserve">8% en 2020 y </w:t>
      </w:r>
      <w:r w:rsidR="00BB1D2D">
        <w:rPr>
          <w:rFonts w:ascii="Times New Roman" w:hAnsi="Times New Roman" w:cs="Times New Roman"/>
          <w:color w:val="auto"/>
        </w:rPr>
        <w:t>5.9</w:t>
      </w:r>
      <w:r w:rsidRPr="00436A82">
        <w:rPr>
          <w:rFonts w:ascii="Times New Roman" w:hAnsi="Times New Roman" w:cs="Times New Roman"/>
          <w:color w:val="auto"/>
        </w:rPr>
        <w:t>% en 2021, gracias al estímulo fiscal y monetario y al nivel moderado de los prec</w:t>
      </w:r>
      <w:r w:rsidR="009241CC">
        <w:rPr>
          <w:rFonts w:ascii="Times New Roman" w:hAnsi="Times New Roman" w:cs="Times New Roman"/>
          <w:color w:val="auto"/>
        </w:rPr>
        <w:t>ios del petróleo.</w:t>
      </w:r>
    </w:p>
    <w:p w:rsidR="003E15D6" w:rsidRPr="00053842" w:rsidRDefault="003E15D6" w:rsidP="003E15D6">
      <w:pPr>
        <w:pStyle w:val="Default"/>
        <w:jc w:val="both"/>
        <w:rPr>
          <w:rFonts w:ascii="Times New Roman" w:hAnsi="Times New Roman" w:cs="Times New Roman"/>
          <w:color w:val="auto"/>
          <w:sz w:val="28"/>
        </w:rPr>
      </w:pPr>
    </w:p>
    <w:p w:rsidR="003E15D6" w:rsidRDefault="003E15D6" w:rsidP="003E15D6">
      <w:pPr>
        <w:pStyle w:val="Default"/>
        <w:jc w:val="both"/>
        <w:rPr>
          <w:rFonts w:ascii="Times New Roman" w:hAnsi="Times New Roman" w:cs="Times New Roman"/>
          <w:color w:val="auto"/>
        </w:rPr>
      </w:pPr>
      <w:r w:rsidRPr="00436A82">
        <w:rPr>
          <w:rFonts w:ascii="Times New Roman" w:hAnsi="Times New Roman" w:cs="Times New Roman"/>
          <w:color w:val="auto"/>
        </w:rPr>
        <w:t>Se proyecta que el crecimiento en China disminuya levemente del 6</w:t>
      </w:r>
      <w:r>
        <w:rPr>
          <w:rFonts w:ascii="Times New Roman" w:hAnsi="Times New Roman" w:cs="Times New Roman"/>
          <w:color w:val="auto"/>
        </w:rPr>
        <w:t>.</w:t>
      </w:r>
      <w:r w:rsidRPr="00436A82">
        <w:rPr>
          <w:rFonts w:ascii="Times New Roman" w:hAnsi="Times New Roman" w:cs="Times New Roman"/>
          <w:color w:val="auto"/>
        </w:rPr>
        <w:t>1% estimado para 2019 a 6</w:t>
      </w:r>
      <w:r>
        <w:rPr>
          <w:rFonts w:ascii="Times New Roman" w:hAnsi="Times New Roman" w:cs="Times New Roman"/>
          <w:color w:val="auto"/>
        </w:rPr>
        <w:t>.</w:t>
      </w:r>
      <w:r w:rsidRPr="00436A82">
        <w:rPr>
          <w:rFonts w:ascii="Times New Roman" w:hAnsi="Times New Roman" w:cs="Times New Roman"/>
          <w:color w:val="auto"/>
        </w:rPr>
        <w:t>0% en 2020 y 5</w:t>
      </w:r>
      <w:r>
        <w:rPr>
          <w:rFonts w:ascii="Times New Roman" w:hAnsi="Times New Roman" w:cs="Times New Roman"/>
          <w:color w:val="auto"/>
        </w:rPr>
        <w:t>.</w:t>
      </w:r>
      <w:r w:rsidRPr="00436A82">
        <w:rPr>
          <w:rFonts w:ascii="Times New Roman" w:hAnsi="Times New Roman" w:cs="Times New Roman"/>
          <w:color w:val="auto"/>
        </w:rPr>
        <w:t>8% en 2021. El repliegue parcial de aranceles previos y la pausa en la aplicación de otras subidas arancelarias, que se prevé como parte de la «primera fase» del acuerdo comercial con Estados Unidos, probablemente aliviarán la debilidad cíclica a corto plazo, y el resultado será una mejora de 0</w:t>
      </w:r>
      <w:r>
        <w:rPr>
          <w:rFonts w:ascii="Times New Roman" w:hAnsi="Times New Roman" w:cs="Times New Roman"/>
          <w:color w:val="auto"/>
        </w:rPr>
        <w:t>.</w:t>
      </w:r>
      <w:r w:rsidRPr="00436A82">
        <w:rPr>
          <w:rFonts w:ascii="Times New Roman" w:hAnsi="Times New Roman" w:cs="Times New Roman"/>
          <w:color w:val="auto"/>
        </w:rPr>
        <w:t>2 puntos porcentuales</w:t>
      </w:r>
      <w:r w:rsidR="009241CC">
        <w:rPr>
          <w:rFonts w:ascii="Times New Roman" w:hAnsi="Times New Roman" w:cs="Times New Roman"/>
          <w:color w:val="auto"/>
        </w:rPr>
        <w:t>, asimismo</w:t>
      </w:r>
      <w:r w:rsidRPr="00436A82">
        <w:rPr>
          <w:rFonts w:ascii="Times New Roman" w:hAnsi="Times New Roman" w:cs="Times New Roman"/>
          <w:color w:val="auto"/>
        </w:rPr>
        <w:t>, cabe prever que las controversias no resueltas en torno a las relaciones económicas entre Estados Unidos y China en términos más generales, así como el necesario fortalecimiento de las regulaciones financieras internas, segui</w:t>
      </w:r>
      <w:r w:rsidR="009241CC">
        <w:rPr>
          <w:rFonts w:ascii="Times New Roman" w:hAnsi="Times New Roman" w:cs="Times New Roman"/>
          <w:color w:val="auto"/>
        </w:rPr>
        <w:t>rán entorpeciendo la actividad económica.</w:t>
      </w:r>
    </w:p>
    <w:p w:rsidR="003E15D6" w:rsidRDefault="003E15D6" w:rsidP="003E15D6">
      <w:pPr>
        <w:pStyle w:val="Default"/>
        <w:jc w:val="both"/>
        <w:rPr>
          <w:rFonts w:ascii="Times New Roman" w:hAnsi="Times New Roman" w:cs="Times New Roman"/>
          <w:color w:val="auto"/>
        </w:rPr>
      </w:pPr>
    </w:p>
    <w:p w:rsidR="003E15D6" w:rsidRDefault="003E15D6" w:rsidP="003E15D6">
      <w:pPr>
        <w:pStyle w:val="Default"/>
        <w:jc w:val="both"/>
        <w:rPr>
          <w:rFonts w:ascii="Times New Roman" w:hAnsi="Times New Roman" w:cs="Times New Roman"/>
          <w:color w:val="auto"/>
        </w:rPr>
      </w:pPr>
      <w:r w:rsidRPr="00436A82">
        <w:rPr>
          <w:rFonts w:ascii="Times New Roman" w:hAnsi="Times New Roman" w:cs="Times New Roman"/>
          <w:color w:val="auto"/>
        </w:rPr>
        <w:t>Se prevé que en las economías emergentes y en desarrollo de Europa</w:t>
      </w:r>
      <w:r w:rsidR="005B1B2E">
        <w:rPr>
          <w:rFonts w:ascii="Times New Roman" w:hAnsi="Times New Roman" w:cs="Times New Roman"/>
          <w:color w:val="auto"/>
        </w:rPr>
        <w:t>,</w:t>
      </w:r>
      <w:r w:rsidRPr="00436A82">
        <w:rPr>
          <w:rFonts w:ascii="Times New Roman" w:hAnsi="Times New Roman" w:cs="Times New Roman"/>
          <w:color w:val="auto"/>
        </w:rPr>
        <w:t xml:space="preserve"> el crecimiento se afiance de 1</w:t>
      </w:r>
      <w:r>
        <w:rPr>
          <w:rFonts w:ascii="Times New Roman" w:hAnsi="Times New Roman" w:cs="Times New Roman"/>
          <w:color w:val="auto"/>
        </w:rPr>
        <w:t>.</w:t>
      </w:r>
      <w:r w:rsidRPr="00436A82">
        <w:rPr>
          <w:rFonts w:ascii="Times New Roman" w:hAnsi="Times New Roman" w:cs="Times New Roman"/>
          <w:color w:val="auto"/>
        </w:rPr>
        <w:t>8% en 2019 a alrededor de 2</w:t>
      </w:r>
      <w:r>
        <w:rPr>
          <w:rFonts w:ascii="Times New Roman" w:hAnsi="Times New Roman" w:cs="Times New Roman"/>
          <w:color w:val="auto"/>
        </w:rPr>
        <w:t>.</w:t>
      </w:r>
      <w:r w:rsidRPr="00436A82">
        <w:rPr>
          <w:rFonts w:ascii="Times New Roman" w:hAnsi="Times New Roman" w:cs="Times New Roman"/>
          <w:color w:val="auto"/>
        </w:rPr>
        <w:t>5% en 2020</w:t>
      </w:r>
      <w:r w:rsidR="005B1B2E">
        <w:rPr>
          <w:rFonts w:ascii="Times New Roman" w:hAnsi="Times New Roman" w:cs="Times New Roman"/>
          <w:color w:val="auto"/>
        </w:rPr>
        <w:t xml:space="preserve"> y </w:t>
      </w:r>
      <w:r>
        <w:rPr>
          <w:rFonts w:ascii="Times New Roman" w:hAnsi="Times New Roman" w:cs="Times New Roman"/>
          <w:color w:val="auto"/>
        </w:rPr>
        <w:t>20</w:t>
      </w:r>
      <w:r w:rsidRPr="00436A82">
        <w:rPr>
          <w:rFonts w:ascii="Times New Roman" w:hAnsi="Times New Roman" w:cs="Times New Roman"/>
          <w:color w:val="auto"/>
        </w:rPr>
        <w:t>21. La mejora se debe al continuo y sólido crecimiento en Europa central y oriental, un repunte de la actividad en Rusia, y la recuperación que está en curso en Turquía conforme las condiciones financieras se vuelven menos restrictivas.</w:t>
      </w:r>
    </w:p>
    <w:p w:rsidR="003E15D6" w:rsidRPr="00255B7C" w:rsidRDefault="003E15D6" w:rsidP="003E15D6">
      <w:pPr>
        <w:pStyle w:val="Default"/>
        <w:rPr>
          <w:rFonts w:ascii="Times New Roman" w:hAnsi="Times New Roman" w:cs="Times New Roman"/>
          <w:color w:val="auto"/>
          <w:sz w:val="28"/>
        </w:rPr>
      </w:pPr>
    </w:p>
    <w:p w:rsidR="003E15D6" w:rsidRPr="00436A82" w:rsidRDefault="003E15D6" w:rsidP="003E15D6">
      <w:pPr>
        <w:pStyle w:val="Default"/>
        <w:jc w:val="both"/>
        <w:rPr>
          <w:rFonts w:ascii="Times New Roman" w:hAnsi="Times New Roman" w:cs="Times New Roman"/>
          <w:color w:val="auto"/>
        </w:rPr>
      </w:pPr>
      <w:r w:rsidRPr="00436A82">
        <w:rPr>
          <w:rFonts w:ascii="Times New Roman" w:hAnsi="Times New Roman" w:cs="Times New Roman"/>
          <w:color w:val="auto"/>
        </w:rPr>
        <w:t>En América Latina se proyecta que el crecimiento se recupere de un 0</w:t>
      </w:r>
      <w:r w:rsidR="005B1B2E">
        <w:rPr>
          <w:rFonts w:ascii="Times New Roman" w:hAnsi="Times New Roman" w:cs="Times New Roman"/>
          <w:color w:val="auto"/>
        </w:rPr>
        <w:t>.</w:t>
      </w:r>
      <w:r w:rsidRPr="00436A82">
        <w:rPr>
          <w:rFonts w:ascii="Times New Roman" w:hAnsi="Times New Roman" w:cs="Times New Roman"/>
          <w:color w:val="auto"/>
        </w:rPr>
        <w:t>1% estimado en 2019 a 1</w:t>
      </w:r>
      <w:r w:rsidR="005B1B2E">
        <w:rPr>
          <w:rFonts w:ascii="Times New Roman" w:hAnsi="Times New Roman" w:cs="Times New Roman"/>
          <w:color w:val="auto"/>
        </w:rPr>
        <w:t>.</w:t>
      </w:r>
      <w:r w:rsidRPr="00436A82">
        <w:rPr>
          <w:rFonts w:ascii="Times New Roman" w:hAnsi="Times New Roman" w:cs="Times New Roman"/>
          <w:color w:val="auto"/>
        </w:rPr>
        <w:t>6% en 2020 y 2</w:t>
      </w:r>
      <w:r w:rsidR="005B1B2E">
        <w:rPr>
          <w:rFonts w:ascii="Times New Roman" w:hAnsi="Times New Roman" w:cs="Times New Roman"/>
          <w:color w:val="auto"/>
        </w:rPr>
        <w:t>.</w:t>
      </w:r>
      <w:r w:rsidRPr="00436A82">
        <w:rPr>
          <w:rFonts w:ascii="Times New Roman" w:hAnsi="Times New Roman" w:cs="Times New Roman"/>
          <w:color w:val="auto"/>
        </w:rPr>
        <w:t xml:space="preserve">3% en </w:t>
      </w:r>
      <w:r>
        <w:rPr>
          <w:rFonts w:ascii="Times New Roman" w:hAnsi="Times New Roman" w:cs="Times New Roman"/>
          <w:color w:val="auto"/>
        </w:rPr>
        <w:t xml:space="preserve">2021. </w:t>
      </w:r>
      <w:r w:rsidRPr="00436A82">
        <w:rPr>
          <w:rFonts w:ascii="Times New Roman" w:hAnsi="Times New Roman" w:cs="Times New Roman"/>
          <w:color w:val="auto"/>
        </w:rPr>
        <w:t>Las revisiones se deben a un recorte de las perspectivas de crecimiento de México en 2020</w:t>
      </w:r>
      <w:r w:rsidR="005B1B2E">
        <w:rPr>
          <w:rFonts w:ascii="Times New Roman" w:hAnsi="Times New Roman" w:cs="Times New Roman"/>
          <w:color w:val="auto"/>
        </w:rPr>
        <w:t xml:space="preserve"> y 20</w:t>
      </w:r>
      <w:r w:rsidRPr="00436A82">
        <w:rPr>
          <w:rFonts w:ascii="Times New Roman" w:hAnsi="Times New Roman" w:cs="Times New Roman"/>
          <w:color w:val="auto"/>
        </w:rPr>
        <w:t>21, entre otras razones por la continua debilidad de la inversión y a una importante revisión a la baja del pronóstico de crecimiento para Chile, que se ha visto afectado por la tensión social. Estas revisiones están en parte compensadas por una revisión al alza del pronóstico de 2020 para Brasil, gracias a una mejora tras la aprobación de la reforma de las pensiones y la disipación de las perturbaciones de la oferta en el sector minero.</w:t>
      </w:r>
    </w:p>
    <w:p w:rsidR="003E15D6" w:rsidRPr="00255B7C" w:rsidRDefault="003E15D6" w:rsidP="003E15D6">
      <w:pPr>
        <w:pStyle w:val="Default"/>
        <w:jc w:val="both"/>
        <w:rPr>
          <w:rFonts w:ascii="Times New Roman" w:hAnsi="Times New Roman" w:cs="Times New Roman"/>
          <w:color w:val="auto"/>
          <w:sz w:val="28"/>
        </w:rPr>
      </w:pPr>
    </w:p>
    <w:p w:rsidR="003E15D6" w:rsidRDefault="003E15D6" w:rsidP="003E15D6">
      <w:pPr>
        <w:jc w:val="both"/>
      </w:pPr>
      <w:r w:rsidRPr="003D36CA">
        <w:t xml:space="preserve">Los riesgos para las perspectivas </w:t>
      </w:r>
      <w:r>
        <w:t>señaladas</w:t>
      </w:r>
      <w:r w:rsidRPr="003D36CA">
        <w:t xml:space="preserve"> tienen su origen </w:t>
      </w:r>
      <w:r w:rsidR="005B1B2E">
        <w:t>en l</w:t>
      </w:r>
      <w:r>
        <w:t xml:space="preserve">as crecientes tensiones geopolíticas, particularmente entre Estados Unidos e Irán, </w:t>
      </w:r>
      <w:r w:rsidR="005B1B2E">
        <w:t xml:space="preserve">que </w:t>
      </w:r>
      <w:r>
        <w:t>podrían perturbar la oferta mundial de petróleo, perjudicar la actitud y debilitar la ya titubeante inversión empresarial. Además, la agudización del malestar social en muchos países</w:t>
      </w:r>
      <w:r w:rsidR="005B1B2E">
        <w:t>,</w:t>
      </w:r>
      <w:r>
        <w:t xml:space="preserve"> debido en algunos casos al deterioro de la confianza en las instituciones tradicionales y la falta de representación en las estructuras de gobierno</w:t>
      </w:r>
      <w:r w:rsidR="005B1B2E">
        <w:t>,</w:t>
      </w:r>
      <w:r>
        <w:t xml:space="preserve"> podría trastornar la actividad, complicar las iniciativas de reforma, lo cual haría disminuir el crecimiento por debajo de lo proyectado. Si estas presiones inciden sobre desaceleraciones profundas que ya están</w:t>
      </w:r>
      <w:r w:rsidR="005B1B2E">
        <w:t xml:space="preserve"> en</w:t>
      </w:r>
      <w:r>
        <w:t xml:space="preserve"> curso, en las economías de mercados emergentes que soportan tensiones y tienen desempeños deficientes no se materializaría el repunte previsto del crecimiento mundial, que es atribuible casi en su totalidad a las mejoras (en algunos casos, contracciones más leves) pr</w:t>
      </w:r>
      <w:r w:rsidR="005B1B2E">
        <w:t>oyectadas para estas economías.</w:t>
      </w:r>
    </w:p>
    <w:p w:rsidR="003E15D6" w:rsidRPr="00255B7C" w:rsidRDefault="003E15D6" w:rsidP="003E15D6">
      <w:pPr>
        <w:jc w:val="both"/>
        <w:rPr>
          <w:sz w:val="28"/>
        </w:rPr>
      </w:pPr>
    </w:p>
    <w:p w:rsidR="003E15D6" w:rsidRDefault="003E15D6" w:rsidP="003E15D6">
      <w:pPr>
        <w:jc w:val="both"/>
      </w:pPr>
      <w:r w:rsidRPr="00D13C3C">
        <w:t>El aumento de las barreras arancelarias entre Estados Unidos y sus socios comerciales, en</w:t>
      </w:r>
      <w:r>
        <w:t xml:space="preserve"> particular China, ha perjudicado y ha agravado las desaceleraciones cíclicas y estructurales que han estado ocurriendo en muchas economías a lo largo del último año. Las controversias se han propagado al sector de la tecnología, </w:t>
      </w:r>
      <w:r w:rsidR="00D13C3C">
        <w:t>situación que</w:t>
      </w:r>
      <w:r>
        <w:t xml:space="preserve"> supone riesgos para las cadenas mundiales de suministro</w:t>
      </w:r>
      <w:r w:rsidR="00D13C3C">
        <w:t>s</w:t>
      </w:r>
      <w:r>
        <w:t xml:space="preserve">. Las justificaciones para las medidas proteccionistas se han ampliado y ahora incluyen cuestiones de </w:t>
      </w:r>
      <w:r w:rsidR="0034463A">
        <w:t>seguridad nacional y cambiaria</w:t>
      </w:r>
      <w:r>
        <w:t xml:space="preserve">. Las perspectivas para una resolución duradera de las tensiones comerciales y tecnológicas siguen siendo imprecisas, pese a esporádicas noticias alentadoras acerca de las negociaciones que están en curso. Un mayor deterioro de las relaciones económicas entre Estados Unidos y sus socios comerciales, o de los lazos comerciales con otros países, podría estropear el giro positivo que están empezando a </w:t>
      </w:r>
      <w:r w:rsidR="00D13C3C">
        <w:t>reflejar</w:t>
      </w:r>
      <w:r>
        <w:t xml:space="preserve"> la manufactura y el comercio mundiales, con lo cual el crecimiento mundial se situarí</w:t>
      </w:r>
      <w:r w:rsidR="00D13C3C">
        <w:t>a por debajo del nivel de base.</w:t>
      </w:r>
    </w:p>
    <w:p w:rsidR="003E15D6" w:rsidRPr="00255B7C" w:rsidRDefault="003E15D6" w:rsidP="003E15D6">
      <w:pPr>
        <w:jc w:val="both"/>
        <w:rPr>
          <w:sz w:val="28"/>
        </w:rPr>
      </w:pPr>
    </w:p>
    <w:p w:rsidR="003E15D6" w:rsidRDefault="003E15D6" w:rsidP="003E15D6">
      <w:pPr>
        <w:jc w:val="both"/>
      </w:pPr>
      <w:r>
        <w:t>La materialización de cual</w:t>
      </w:r>
      <w:r w:rsidR="00D13C3C">
        <w:t>es</w:t>
      </w:r>
      <w:r>
        <w:t>quiera de estos riesgos podría desencadenar rápidos cambios en la actitud de los mercados financieros, reasignaciones de las carteras hacia activos seguros y un aumento de los riesgos de refinanciamiento para prestatarios vulnerables, tanto empresariales como soberanos. Un endurecimiento generalizado de las condiciones financieras dejaría al descubierto vulnerabilidades financieras que se han acumulado durante los años de bajas tasas de interés, y restringiría más el gasto en maquinaria, equipos y en bienes duraderos que adquieren los hogares. Esto produciría un nuevo debilitamiento del sector manufacturero que a la larga podría propagarse al de servicios y ampliar e</w:t>
      </w:r>
      <w:r w:rsidR="00D13C3C">
        <w:t>l alcance de la desaceleración.</w:t>
      </w:r>
    </w:p>
    <w:p w:rsidR="003E15D6" w:rsidRDefault="003E15D6" w:rsidP="003E15D6">
      <w:pPr>
        <w:jc w:val="both"/>
      </w:pPr>
    </w:p>
    <w:p w:rsidR="00255B7C" w:rsidRDefault="00255B7C" w:rsidP="003E15D6">
      <w:pPr>
        <w:jc w:val="both"/>
      </w:pPr>
    </w:p>
    <w:p w:rsidR="00255B7C" w:rsidRDefault="00255B7C" w:rsidP="003E15D6">
      <w:pPr>
        <w:jc w:val="both"/>
      </w:pPr>
    </w:p>
    <w:p w:rsidR="003E15D6" w:rsidRDefault="003E15D6" w:rsidP="003E15D6">
      <w:pPr>
        <w:jc w:val="both"/>
      </w:pPr>
      <w:r>
        <w:t xml:space="preserve">Los desastres provocados por fenómenos naturales de índole meteorológica, </w:t>
      </w:r>
      <w:r w:rsidR="00D13C3C">
        <w:t xml:space="preserve">tales </w:t>
      </w:r>
      <w:r>
        <w:t>como tormentas tropicales, inundaciones, olas de calor, sequías e incendios forestales, han supuesto graves costos humanitarios y pérdidas de los medios de subsistencia en diversas regiones en los últimos años. El cambio climático, causa principal de la creciente frecuencia e intensidad de los desastres de índole meteorológica, pone en riesgo el logro de resultados en materia de salud y economía, y no solo en las regiones directamente afectadas. Podría</w:t>
      </w:r>
      <w:r w:rsidR="00D96C1C">
        <w:t>n</w:t>
      </w:r>
      <w:r>
        <w:t xml:space="preserve"> plantear</w:t>
      </w:r>
      <w:r w:rsidR="00D96C1C">
        <w:t>se</w:t>
      </w:r>
      <w:r>
        <w:t xml:space="preserve"> desafíos en otros ámbitos en los que tal</w:t>
      </w:r>
      <w:r w:rsidR="00D96C1C">
        <w:t xml:space="preserve"> </w:t>
      </w:r>
      <w:r>
        <w:t xml:space="preserve">vez aún no se sienten los efectos directos, como por ejemplo al contribuir a la migración transfronteriza o a la tensión financiera (por ejemplo, en el sector de los seguros). De continuar, estas tendencias podrían infligir pérdidas aún mayores en más países. (Banco Mundial, WEO, enero </w:t>
      </w:r>
      <w:r w:rsidR="006048E5">
        <w:t xml:space="preserve">de </w:t>
      </w:r>
      <w:r>
        <w:t>2020).</w:t>
      </w:r>
    </w:p>
    <w:p w:rsidR="003E15D6" w:rsidRPr="003D36CA" w:rsidRDefault="003E15D6" w:rsidP="003E15D6">
      <w:pPr>
        <w:autoSpaceDE w:val="0"/>
        <w:autoSpaceDN w:val="0"/>
        <w:adjustRightInd w:val="0"/>
        <w:jc w:val="both"/>
      </w:pPr>
    </w:p>
    <w:p w:rsidR="003E15D6" w:rsidRDefault="003E15D6" w:rsidP="003E15D6"/>
    <w:p w:rsidR="003E15D6" w:rsidRPr="00124AD6" w:rsidRDefault="003E15D6" w:rsidP="003E15D6">
      <w:pPr>
        <w:pStyle w:val="Ttulo1"/>
        <w:rPr>
          <w:lang w:val="es-MX"/>
        </w:rPr>
      </w:pPr>
      <w:bookmarkStart w:id="4" w:name="_Toc32829785"/>
      <w:r w:rsidRPr="00124AD6">
        <w:rPr>
          <w:lang w:val="es-MX"/>
        </w:rPr>
        <w:t>Entorno Macroeconómico Nacional</w:t>
      </w:r>
      <w:bookmarkEnd w:id="4"/>
    </w:p>
    <w:p w:rsidR="003E15D6" w:rsidRPr="00255B7C" w:rsidRDefault="003E15D6" w:rsidP="003E15D6">
      <w:pPr>
        <w:rPr>
          <w:sz w:val="28"/>
          <w:lang w:val="es-MX"/>
        </w:rPr>
      </w:pPr>
    </w:p>
    <w:p w:rsidR="003E15D6" w:rsidRDefault="003E15D6" w:rsidP="003E15D6">
      <w:pPr>
        <w:jc w:val="both"/>
        <w:rPr>
          <w:lang w:val="es-MX"/>
        </w:rPr>
      </w:pPr>
      <w:r w:rsidRPr="00124AD6">
        <w:rPr>
          <w:lang w:val="es-MX"/>
        </w:rPr>
        <w:t xml:space="preserve">La actividad económica </w:t>
      </w:r>
      <w:r>
        <w:rPr>
          <w:lang w:val="es-MX"/>
        </w:rPr>
        <w:t xml:space="preserve">medida en función del Producto Interno Bruto </w:t>
      </w:r>
      <w:r w:rsidRPr="00124AD6">
        <w:rPr>
          <w:lang w:val="es-MX"/>
        </w:rPr>
        <w:t>en términos reales</w:t>
      </w:r>
      <w:r w:rsidR="00556830">
        <w:rPr>
          <w:lang w:val="es-MX"/>
        </w:rPr>
        <w:t>,</w:t>
      </w:r>
      <w:r w:rsidRPr="00124AD6">
        <w:rPr>
          <w:lang w:val="es-MX"/>
        </w:rPr>
        <w:t xml:space="preserve"> mostró para </w:t>
      </w:r>
      <w:r>
        <w:rPr>
          <w:lang w:val="es-MX"/>
        </w:rPr>
        <w:t xml:space="preserve">el </w:t>
      </w:r>
      <w:r w:rsidRPr="00124AD6">
        <w:rPr>
          <w:lang w:val="es-MX"/>
        </w:rPr>
        <w:t>201</w:t>
      </w:r>
      <w:r>
        <w:rPr>
          <w:lang w:val="es-MX"/>
        </w:rPr>
        <w:t>9</w:t>
      </w:r>
      <w:r w:rsidRPr="00124AD6">
        <w:rPr>
          <w:lang w:val="es-MX"/>
        </w:rPr>
        <w:t xml:space="preserve"> un crecimiento de </w:t>
      </w:r>
      <w:r>
        <w:rPr>
          <w:lang w:val="es-MX"/>
        </w:rPr>
        <w:t>3.5%</w:t>
      </w:r>
      <w:r w:rsidR="00556830">
        <w:rPr>
          <w:lang w:val="es-MX"/>
        </w:rPr>
        <w:t>,</w:t>
      </w:r>
      <w:r w:rsidRPr="00124AD6">
        <w:rPr>
          <w:lang w:val="es-MX"/>
        </w:rPr>
        <w:t xml:space="preserve"> </w:t>
      </w:r>
      <w:r>
        <w:rPr>
          <w:lang w:val="es-MX"/>
        </w:rPr>
        <w:t>superior</w:t>
      </w:r>
      <w:r w:rsidRPr="00124AD6">
        <w:rPr>
          <w:lang w:val="es-MX"/>
        </w:rPr>
        <w:t xml:space="preserve"> en </w:t>
      </w:r>
      <w:r>
        <w:rPr>
          <w:lang w:val="es-MX"/>
        </w:rPr>
        <w:t>0.4%</w:t>
      </w:r>
      <w:r w:rsidRPr="00124AD6">
        <w:rPr>
          <w:lang w:val="es-MX"/>
        </w:rPr>
        <w:t xml:space="preserve"> al registrado en 201</w:t>
      </w:r>
      <w:r>
        <w:rPr>
          <w:lang w:val="es-MX"/>
        </w:rPr>
        <w:t xml:space="preserve">8 y </w:t>
      </w:r>
      <w:r w:rsidR="00556830">
        <w:rPr>
          <w:lang w:val="es-MX"/>
        </w:rPr>
        <w:t xml:space="preserve">se situó </w:t>
      </w:r>
      <w:r>
        <w:rPr>
          <w:lang w:val="es-MX"/>
        </w:rPr>
        <w:t>dentro del rango establecido en las proyecciones de crecimiento</w:t>
      </w:r>
      <w:r w:rsidRPr="00124AD6">
        <w:rPr>
          <w:lang w:val="es-MX"/>
        </w:rPr>
        <w:t xml:space="preserve">. </w:t>
      </w:r>
      <w:r w:rsidRPr="008203ED">
        <w:rPr>
          <w:lang w:val="es-MX"/>
        </w:rPr>
        <w:t xml:space="preserve">De acuerdo </w:t>
      </w:r>
      <w:r>
        <w:rPr>
          <w:lang w:val="es-MX"/>
        </w:rPr>
        <w:t xml:space="preserve">con </w:t>
      </w:r>
      <w:r w:rsidRPr="008203ED">
        <w:rPr>
          <w:lang w:val="es-MX"/>
        </w:rPr>
        <w:t xml:space="preserve">el Banco de Guatemala, </w:t>
      </w:r>
      <w:r>
        <w:rPr>
          <w:lang w:val="es-MX"/>
        </w:rPr>
        <w:t>dicho</w:t>
      </w:r>
      <w:r w:rsidRPr="008203ED">
        <w:rPr>
          <w:lang w:val="es-MX"/>
        </w:rPr>
        <w:t xml:space="preserve"> crecimiento se explica principalmente por </w:t>
      </w:r>
      <w:r w:rsidRPr="002C2BA1">
        <w:rPr>
          <w:lang w:val="es-MX"/>
        </w:rPr>
        <w:t xml:space="preserve">el aumento de la demanda interna, especialmente del consumo privado; en tanto que, por el lado de la oferta, refleja la evolución positiva </w:t>
      </w:r>
      <w:r>
        <w:rPr>
          <w:lang w:val="es-MX"/>
        </w:rPr>
        <w:t xml:space="preserve">de </w:t>
      </w:r>
      <w:r w:rsidRPr="002C2BA1">
        <w:rPr>
          <w:lang w:val="es-MX"/>
        </w:rPr>
        <w:t>las actividades económicas</w:t>
      </w:r>
      <w:r>
        <w:rPr>
          <w:lang w:val="es-MX"/>
        </w:rPr>
        <w:t xml:space="preserve"> consideradas </w:t>
      </w:r>
      <w:r w:rsidRPr="002C2BA1">
        <w:rPr>
          <w:lang w:val="es-MX"/>
        </w:rPr>
        <w:t>(excepto explotación de minas y canteras</w:t>
      </w:r>
      <w:r>
        <w:rPr>
          <w:lang w:val="es-MX"/>
        </w:rPr>
        <w:t xml:space="preserve"> que mostró un decrecimiento</w:t>
      </w:r>
      <w:r w:rsidRPr="002C2BA1">
        <w:rPr>
          <w:lang w:val="es-MX"/>
        </w:rPr>
        <w:t>).</w:t>
      </w:r>
    </w:p>
    <w:p w:rsidR="003E15D6" w:rsidRPr="00255B7C" w:rsidRDefault="003E15D6" w:rsidP="003E15D6">
      <w:pPr>
        <w:jc w:val="both"/>
        <w:rPr>
          <w:sz w:val="28"/>
          <w:lang w:val="es-MX"/>
        </w:rPr>
      </w:pPr>
    </w:p>
    <w:p w:rsidR="003E15D6" w:rsidRDefault="003E15D6" w:rsidP="003E15D6">
      <w:pPr>
        <w:jc w:val="both"/>
        <w:rPr>
          <w:lang w:val="es-MX"/>
        </w:rPr>
      </w:pPr>
      <w:r w:rsidRPr="00B533AF">
        <w:rPr>
          <w:lang w:val="es-MX"/>
        </w:rPr>
        <w:t>De acuerdo a las proyecciones</w:t>
      </w:r>
      <w:r>
        <w:rPr>
          <w:lang w:val="es-MX"/>
        </w:rPr>
        <w:t>,</w:t>
      </w:r>
      <w:r w:rsidRPr="00B533AF">
        <w:rPr>
          <w:lang w:val="es-MX"/>
        </w:rPr>
        <w:t xml:space="preserve"> se espera para 20</w:t>
      </w:r>
      <w:r>
        <w:rPr>
          <w:lang w:val="es-MX"/>
        </w:rPr>
        <w:t xml:space="preserve">20 un </w:t>
      </w:r>
      <w:r w:rsidRPr="00B533AF">
        <w:rPr>
          <w:lang w:val="es-MX"/>
        </w:rPr>
        <w:t xml:space="preserve">crecimiento de la economía en </w:t>
      </w:r>
      <w:r>
        <w:rPr>
          <w:lang w:val="es-MX"/>
        </w:rPr>
        <w:t>el</w:t>
      </w:r>
      <w:r w:rsidRPr="00B533AF">
        <w:rPr>
          <w:lang w:val="es-MX"/>
        </w:rPr>
        <w:t xml:space="preserve"> rango </w:t>
      </w:r>
      <w:r w:rsidRPr="009E3A1E">
        <w:t>entre 3.1% y 4.1%</w:t>
      </w:r>
      <w:r>
        <w:rPr>
          <w:lang w:val="es-MX"/>
        </w:rPr>
        <w:t>; por lo que, para efectos de este informe, la proyección media se establece en 3.6%;</w:t>
      </w:r>
      <w:r w:rsidRPr="00B533AF">
        <w:rPr>
          <w:lang w:val="es-MX"/>
        </w:rPr>
        <w:t xml:space="preserve"> esto se basa en la estimación </w:t>
      </w:r>
      <w:r>
        <w:rPr>
          <w:lang w:val="es-MX"/>
        </w:rPr>
        <w:t>sobre el desempeño de</w:t>
      </w:r>
      <w:r w:rsidRPr="00B533AF">
        <w:rPr>
          <w:lang w:val="es-MX"/>
        </w:rPr>
        <w:t xml:space="preserve"> las actividades económicas</w:t>
      </w:r>
      <w:r>
        <w:rPr>
          <w:lang w:val="es-MX"/>
        </w:rPr>
        <w:t>;</w:t>
      </w:r>
      <w:r w:rsidRPr="00B533AF">
        <w:rPr>
          <w:lang w:val="es-MX"/>
        </w:rPr>
        <w:t xml:space="preserve"> </w:t>
      </w:r>
      <w:r>
        <w:rPr>
          <w:lang w:val="es-MX"/>
        </w:rPr>
        <w:t xml:space="preserve">en las que </w:t>
      </w:r>
      <w:r>
        <w:t xml:space="preserve">se esperan crecimientos positivos en todas ellas. </w:t>
      </w:r>
      <w:r w:rsidRPr="00B533AF">
        <w:rPr>
          <w:lang w:val="es-MX"/>
        </w:rPr>
        <w:t xml:space="preserve">(Banco de Guatemala, </w:t>
      </w:r>
      <w:r>
        <w:rPr>
          <w:lang w:val="es-MX"/>
        </w:rPr>
        <w:t>enero</w:t>
      </w:r>
      <w:r w:rsidR="008A23CC">
        <w:rPr>
          <w:lang w:val="es-MX"/>
        </w:rPr>
        <w:t xml:space="preserve"> de</w:t>
      </w:r>
      <w:r>
        <w:rPr>
          <w:lang w:val="es-MX"/>
        </w:rPr>
        <w:t xml:space="preserve"> </w:t>
      </w:r>
      <w:r w:rsidRPr="00B533AF">
        <w:rPr>
          <w:lang w:val="es-MX"/>
        </w:rPr>
        <w:t>20</w:t>
      </w:r>
      <w:r>
        <w:rPr>
          <w:lang w:val="es-MX"/>
        </w:rPr>
        <w:t>20</w:t>
      </w:r>
      <w:r w:rsidRPr="00B533AF">
        <w:rPr>
          <w:lang w:val="es-MX"/>
        </w:rPr>
        <w:t xml:space="preserve"> </w:t>
      </w:r>
      <w:r>
        <w:rPr>
          <w:lang w:val="es-MX"/>
        </w:rPr>
        <w:t>“D</w:t>
      </w:r>
      <w:r w:rsidRPr="00B533AF">
        <w:rPr>
          <w:lang w:val="es-MX"/>
        </w:rPr>
        <w:t xml:space="preserve">esempeño </w:t>
      </w:r>
      <w:r>
        <w:rPr>
          <w:lang w:val="es-MX"/>
        </w:rPr>
        <w:t>M</w:t>
      </w:r>
      <w:r w:rsidRPr="00B533AF">
        <w:rPr>
          <w:lang w:val="es-MX"/>
        </w:rPr>
        <w:t>acroeconómico 201</w:t>
      </w:r>
      <w:r>
        <w:rPr>
          <w:lang w:val="es-MX"/>
        </w:rPr>
        <w:t>9;</w:t>
      </w:r>
      <w:r w:rsidRPr="00B533AF">
        <w:rPr>
          <w:lang w:val="es-MX"/>
        </w:rPr>
        <w:t xml:space="preserve"> </w:t>
      </w:r>
      <w:r>
        <w:rPr>
          <w:lang w:val="es-MX"/>
        </w:rPr>
        <w:t>P</w:t>
      </w:r>
      <w:r w:rsidRPr="00B533AF">
        <w:rPr>
          <w:lang w:val="es-MX"/>
        </w:rPr>
        <w:t>erspectivas 20</w:t>
      </w:r>
      <w:r>
        <w:rPr>
          <w:lang w:val="es-MX"/>
        </w:rPr>
        <w:t>20”)</w:t>
      </w:r>
      <w:r w:rsidRPr="00B533AF">
        <w:rPr>
          <w:lang w:val="es-MX"/>
        </w:rPr>
        <w:t>.</w:t>
      </w:r>
    </w:p>
    <w:p w:rsidR="003E15D6" w:rsidRPr="00255B7C" w:rsidRDefault="003E15D6" w:rsidP="003E15D6">
      <w:pPr>
        <w:jc w:val="both"/>
        <w:rPr>
          <w:sz w:val="28"/>
          <w:lang w:val="es-MX"/>
        </w:rPr>
      </w:pPr>
    </w:p>
    <w:p w:rsidR="003E15D6" w:rsidRPr="009E3A1E" w:rsidRDefault="003E15D6" w:rsidP="003E15D6">
      <w:pPr>
        <w:jc w:val="both"/>
        <w:rPr>
          <w:lang w:val="es-MX"/>
        </w:rPr>
      </w:pPr>
      <w:r w:rsidRPr="009E3A1E">
        <w:rPr>
          <w:lang w:val="es-MX"/>
        </w:rPr>
        <w:t xml:space="preserve">El promedio de crecimiento para el periodo 2014 </w:t>
      </w:r>
      <w:r w:rsidR="008A23CC">
        <w:rPr>
          <w:lang w:val="es-MX"/>
        </w:rPr>
        <w:t>-</w:t>
      </w:r>
      <w:r w:rsidRPr="009E3A1E">
        <w:rPr>
          <w:lang w:val="es-MX"/>
        </w:rPr>
        <w:t xml:space="preserve"> 2019 se </w:t>
      </w:r>
      <w:r w:rsidR="008A23CC">
        <w:rPr>
          <w:lang w:val="es-MX"/>
        </w:rPr>
        <w:t>situó</w:t>
      </w:r>
      <w:r w:rsidRPr="009E3A1E">
        <w:rPr>
          <w:lang w:val="es-MX"/>
        </w:rPr>
        <w:t xml:space="preserve"> en 3.5%</w:t>
      </w:r>
      <w:r>
        <w:rPr>
          <w:lang w:val="es-MX"/>
        </w:rPr>
        <w:t xml:space="preserve">; por lo que se estima que en 2020 se superará dicho promedio. Dentro de los factores internos para el cumplimiento de la proyección se contempla el </w:t>
      </w:r>
      <w:r>
        <w:t xml:space="preserve">mantenimiento de condiciones crediticias favorables y estabilidad en el nivel general de precios; </w:t>
      </w:r>
      <w:r w:rsidR="008A23CC">
        <w:t>a</w:t>
      </w:r>
      <w:r>
        <w:t xml:space="preserve">umento en la construcción de edificaciones privadas para uso residencial y no residencial; </w:t>
      </w:r>
      <w:r w:rsidR="008A23CC">
        <w:t>i</w:t>
      </w:r>
      <w:r>
        <w:t xml:space="preserve">ncremento en el volumen importado de bienes de consumo; </w:t>
      </w:r>
      <w:r w:rsidR="008A23CC">
        <w:t>r</w:t>
      </w:r>
      <w:r>
        <w:t>ecuperación de algunos precios de los productos de exportación y el dinamismo en las remesas familiares.</w:t>
      </w:r>
      <w:r w:rsidRPr="009E3A1E">
        <w:rPr>
          <w:lang w:val="es-MX"/>
        </w:rPr>
        <w:br w:type="page"/>
      </w:r>
    </w:p>
    <w:p w:rsidR="003E15D6" w:rsidRPr="00124AD6" w:rsidRDefault="003E15D6" w:rsidP="003E15D6">
      <w:pPr>
        <w:jc w:val="center"/>
        <w:rPr>
          <w:b/>
        </w:rPr>
      </w:pPr>
      <w:r w:rsidRPr="00124AD6">
        <w:rPr>
          <w:b/>
        </w:rPr>
        <w:lastRenderedPageBreak/>
        <w:t>Gráfica 1</w:t>
      </w:r>
    </w:p>
    <w:p w:rsidR="003E15D6" w:rsidRPr="00124AD6" w:rsidRDefault="003E15D6" w:rsidP="003E15D6">
      <w:pPr>
        <w:jc w:val="center"/>
        <w:rPr>
          <w:b/>
        </w:rPr>
      </w:pPr>
      <w:r w:rsidRPr="00124AD6">
        <w:rPr>
          <w:b/>
        </w:rPr>
        <w:t>Guatemala: Producto Interno Bruto</w:t>
      </w:r>
      <w:r>
        <w:rPr>
          <w:b/>
        </w:rPr>
        <w:t xml:space="preserve"> e</w:t>
      </w:r>
      <w:r w:rsidRPr="00124AD6">
        <w:rPr>
          <w:b/>
        </w:rPr>
        <w:t xml:space="preserve">n </w:t>
      </w:r>
      <w:r>
        <w:rPr>
          <w:b/>
        </w:rPr>
        <w:t>T</w:t>
      </w:r>
      <w:r w:rsidRPr="00124AD6">
        <w:rPr>
          <w:b/>
        </w:rPr>
        <w:t xml:space="preserve">érminos </w:t>
      </w:r>
      <w:r>
        <w:rPr>
          <w:b/>
        </w:rPr>
        <w:t>R</w:t>
      </w:r>
      <w:r w:rsidRPr="00124AD6">
        <w:rPr>
          <w:b/>
        </w:rPr>
        <w:t>eales</w:t>
      </w:r>
    </w:p>
    <w:p w:rsidR="003E15D6" w:rsidRDefault="003E15D6" w:rsidP="003E15D6">
      <w:pPr>
        <w:jc w:val="center"/>
        <w:rPr>
          <w:b/>
        </w:rPr>
      </w:pPr>
      <w:r w:rsidRPr="00124AD6">
        <w:rPr>
          <w:b/>
        </w:rPr>
        <w:t xml:space="preserve">(Tasas de </w:t>
      </w:r>
      <w:r>
        <w:rPr>
          <w:b/>
        </w:rPr>
        <w:t>V</w:t>
      </w:r>
      <w:r w:rsidRPr="00124AD6">
        <w:rPr>
          <w:b/>
        </w:rPr>
        <w:t xml:space="preserve">ariación </w:t>
      </w:r>
      <w:r>
        <w:rPr>
          <w:b/>
        </w:rPr>
        <w:t>I</w:t>
      </w:r>
      <w:r w:rsidRPr="00124AD6">
        <w:rPr>
          <w:b/>
        </w:rPr>
        <w:t>nteranual 20</w:t>
      </w:r>
      <w:r>
        <w:rPr>
          <w:b/>
        </w:rPr>
        <w:t xml:space="preserve">14 </w:t>
      </w:r>
      <w:r w:rsidRPr="00124AD6">
        <w:rPr>
          <w:b/>
        </w:rPr>
        <w:t>- 20</w:t>
      </w:r>
      <w:r>
        <w:rPr>
          <w:b/>
        </w:rPr>
        <w:t>20</w:t>
      </w:r>
      <w:r w:rsidRPr="00124AD6">
        <w:rPr>
          <w:b/>
        </w:rPr>
        <w:t>)</w:t>
      </w:r>
    </w:p>
    <w:p w:rsidR="003E15D6" w:rsidRDefault="003E15D6" w:rsidP="003E15D6">
      <w:pPr>
        <w:rPr>
          <w:noProof/>
          <w:lang w:val="es-GT" w:eastAsia="es-GT"/>
        </w:rPr>
      </w:pPr>
      <w:r>
        <w:rPr>
          <w:noProof/>
          <w:lang w:val="es-GT" w:eastAsia="es-GT"/>
        </w:rPr>
        <w:drawing>
          <wp:inline distT="0" distB="0" distL="0" distR="0" wp14:anchorId="4B9E7AA7" wp14:editId="19D434C2">
            <wp:extent cx="5610758" cy="3920947"/>
            <wp:effectExtent l="0" t="0" r="9525" b="3810"/>
            <wp:docPr id="15" name="Gráfico 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E15D6" w:rsidRDefault="003E15D6" w:rsidP="003E15D6">
      <w:pPr>
        <w:rPr>
          <w:lang w:val="es-MX"/>
        </w:rPr>
      </w:pPr>
    </w:p>
    <w:p w:rsidR="0075702C" w:rsidRPr="00B533AF" w:rsidRDefault="0075702C" w:rsidP="003E15D6">
      <w:pPr>
        <w:rPr>
          <w:lang w:val="es-MX"/>
        </w:rPr>
      </w:pPr>
    </w:p>
    <w:p w:rsidR="003E15D6" w:rsidRDefault="003E15D6" w:rsidP="003E15D6">
      <w:pPr>
        <w:jc w:val="both"/>
      </w:pPr>
      <w:r>
        <w:t xml:space="preserve">El Índice de Confianza de la Actividad Económica </w:t>
      </w:r>
      <w:r w:rsidRPr="00124AD6">
        <w:t xml:space="preserve">refleja la percepción </w:t>
      </w:r>
      <w:r>
        <w:t xml:space="preserve">que </w:t>
      </w:r>
      <w:r w:rsidRPr="00124AD6">
        <w:t xml:space="preserve">sobre la situación económica actual </w:t>
      </w:r>
      <w:r>
        <w:t>y el ambiente para los negocios, tiene el panel de analistas económicos entrevistados para su realización.</w:t>
      </w:r>
    </w:p>
    <w:p w:rsidR="003E15D6" w:rsidRDefault="003E15D6" w:rsidP="003E15D6">
      <w:pPr>
        <w:jc w:val="both"/>
      </w:pPr>
    </w:p>
    <w:p w:rsidR="003E15D6" w:rsidRDefault="003E15D6" w:rsidP="003E15D6">
      <w:pPr>
        <w:jc w:val="both"/>
      </w:pPr>
      <w:r>
        <w:t xml:space="preserve">En diciembre </w:t>
      </w:r>
      <w:r w:rsidR="0075702C">
        <w:t xml:space="preserve">de </w:t>
      </w:r>
      <w:r>
        <w:t>2019, el nivel del Índice de Confianza de la Actividad Económica se situó en 59.27 puntos, superior en 9.27% con respecto al registrado en diciembre de 2018 (50.0 puntos).</w:t>
      </w:r>
    </w:p>
    <w:p w:rsidR="003E15D6" w:rsidRDefault="003E15D6" w:rsidP="003E15D6">
      <w:pPr>
        <w:jc w:val="both"/>
      </w:pPr>
    </w:p>
    <w:p w:rsidR="003E15D6" w:rsidRDefault="003E15D6" w:rsidP="003E15D6">
      <w:pPr>
        <w:jc w:val="both"/>
      </w:pPr>
      <w:r>
        <w:t>Es</w:t>
      </w:r>
      <w:r w:rsidRPr="00124AD6">
        <w:t xml:space="preserve"> importante indicar que </w:t>
      </w:r>
      <w:r>
        <w:t xml:space="preserve">este índice </w:t>
      </w:r>
      <w:r w:rsidRPr="00124AD6">
        <w:t xml:space="preserve">se </w:t>
      </w:r>
      <w:r>
        <w:t>basa en perspectivas que son influenciadas por los temas de coyuntura</w:t>
      </w:r>
      <w:r w:rsidR="0075702C">
        <w:t>,</w:t>
      </w:r>
      <w:r>
        <w:t xml:space="preserve"> que de acuerdo al panel mencionado, afectan el clima general de negocios; de esta forma si el índice se </w:t>
      </w:r>
      <w:r w:rsidRPr="00124AD6">
        <w:t>posiciona por encima de 50</w:t>
      </w:r>
      <w:r w:rsidR="0075702C">
        <w:t>.0</w:t>
      </w:r>
      <w:r w:rsidRPr="00124AD6">
        <w:t xml:space="preserve"> puntos</w:t>
      </w:r>
      <w:r>
        <w:t xml:space="preserve"> se espera un dinamismo en el ritmo de la actividad económica para los próximos seis meses; por el contrario, con una posición menor lo que se visualiza es una contracción. Con base en lo anterior se considera que el comportamiento del índice durante el segundo semestre de 2019 estuvo influenciado favorablemente por los resultados del proceso electoral que se realizó.</w:t>
      </w:r>
    </w:p>
    <w:p w:rsidR="003E15D6" w:rsidRPr="00124AD6" w:rsidRDefault="003E15D6" w:rsidP="003E15D6">
      <w:pPr>
        <w:jc w:val="both"/>
      </w:pPr>
    </w:p>
    <w:p w:rsidR="003E15D6" w:rsidRDefault="003E15D6" w:rsidP="003E15D6">
      <w:pPr>
        <w:jc w:val="center"/>
        <w:rPr>
          <w:b/>
        </w:rPr>
      </w:pPr>
    </w:p>
    <w:p w:rsidR="003E15D6" w:rsidRDefault="003E15D6" w:rsidP="003E15D6">
      <w:pPr>
        <w:rPr>
          <w:b/>
        </w:rPr>
      </w:pPr>
      <w:r>
        <w:rPr>
          <w:b/>
        </w:rPr>
        <w:br w:type="page"/>
      </w:r>
    </w:p>
    <w:p w:rsidR="003E15D6" w:rsidRPr="00124AD6" w:rsidRDefault="003E15D6" w:rsidP="003E15D6">
      <w:pPr>
        <w:jc w:val="center"/>
        <w:rPr>
          <w:b/>
        </w:rPr>
      </w:pPr>
      <w:r w:rsidRPr="00124AD6">
        <w:rPr>
          <w:b/>
        </w:rPr>
        <w:lastRenderedPageBreak/>
        <w:t>Gráfica 2</w:t>
      </w:r>
    </w:p>
    <w:p w:rsidR="003E15D6" w:rsidRPr="00124AD6" w:rsidRDefault="003E15D6" w:rsidP="003E15D6">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Índice de Confianza de la Actividad Económica</w:t>
      </w:r>
    </w:p>
    <w:p w:rsidR="003E15D6" w:rsidRPr="00124AD6" w:rsidRDefault="0075702C" w:rsidP="003E15D6">
      <w:pPr>
        <w:jc w:val="center"/>
        <w:rPr>
          <w:rFonts w:eastAsia="Calibri"/>
          <w:b/>
          <w:bCs/>
          <w:color w:val="000000"/>
          <w:lang w:val="es-GT" w:eastAsia="es-GT"/>
        </w:rPr>
      </w:pPr>
      <w:r>
        <w:rPr>
          <w:rFonts w:eastAsia="Calibri"/>
          <w:b/>
          <w:bCs/>
          <w:color w:val="000000"/>
          <w:lang w:val="es-GT" w:eastAsia="es-GT"/>
        </w:rPr>
        <w:t>E</w:t>
      </w:r>
      <w:r w:rsidR="003E15D6" w:rsidRPr="00124AD6">
        <w:rPr>
          <w:rFonts w:eastAsia="Calibri"/>
          <w:b/>
          <w:bCs/>
          <w:color w:val="000000"/>
          <w:lang w:val="es-GT" w:eastAsia="es-GT"/>
        </w:rPr>
        <w:t>nero 201</w:t>
      </w:r>
      <w:r w:rsidR="003E15D6">
        <w:rPr>
          <w:rFonts w:eastAsia="Calibri"/>
          <w:b/>
          <w:bCs/>
          <w:color w:val="000000"/>
          <w:lang w:val="es-GT" w:eastAsia="es-GT"/>
        </w:rPr>
        <w:t>6</w:t>
      </w:r>
      <w:r w:rsidR="003E15D6" w:rsidRPr="00124AD6">
        <w:rPr>
          <w:rFonts w:eastAsia="Calibri"/>
          <w:b/>
          <w:bCs/>
          <w:color w:val="000000"/>
          <w:lang w:val="es-GT" w:eastAsia="es-GT"/>
        </w:rPr>
        <w:t xml:space="preserve"> </w:t>
      </w:r>
      <w:r w:rsidR="003E15D6">
        <w:rPr>
          <w:rFonts w:eastAsia="Calibri"/>
          <w:b/>
          <w:bCs/>
          <w:color w:val="000000"/>
          <w:lang w:val="es-GT" w:eastAsia="es-GT"/>
        </w:rPr>
        <w:t>-</w:t>
      </w:r>
      <w:r w:rsidR="003E15D6" w:rsidRPr="00124AD6">
        <w:rPr>
          <w:rFonts w:eastAsia="Calibri"/>
          <w:b/>
          <w:bCs/>
          <w:color w:val="000000"/>
          <w:lang w:val="es-GT" w:eastAsia="es-GT"/>
        </w:rPr>
        <w:t xml:space="preserve"> </w:t>
      </w:r>
      <w:r>
        <w:rPr>
          <w:rFonts w:eastAsia="Calibri"/>
          <w:b/>
          <w:bCs/>
          <w:color w:val="000000"/>
          <w:lang w:val="es-GT" w:eastAsia="es-GT"/>
        </w:rPr>
        <w:t>D</w:t>
      </w:r>
      <w:r w:rsidR="003E15D6" w:rsidRPr="00124AD6">
        <w:rPr>
          <w:rFonts w:eastAsia="Calibri"/>
          <w:b/>
          <w:bCs/>
          <w:color w:val="000000"/>
          <w:lang w:val="es-GT" w:eastAsia="es-GT"/>
        </w:rPr>
        <w:t>iciembre 201</w:t>
      </w:r>
      <w:r w:rsidR="003E15D6">
        <w:rPr>
          <w:rFonts w:eastAsia="Calibri"/>
          <w:b/>
          <w:bCs/>
          <w:color w:val="000000"/>
          <w:lang w:val="es-GT" w:eastAsia="es-GT"/>
        </w:rPr>
        <w:t>9</w:t>
      </w:r>
    </w:p>
    <w:p w:rsidR="003E15D6" w:rsidRPr="00124AD6" w:rsidRDefault="003E15D6" w:rsidP="003E15D6">
      <w:pPr>
        <w:jc w:val="center"/>
        <w:rPr>
          <w:lang w:val="es-MX"/>
        </w:rPr>
      </w:pPr>
      <w:r w:rsidRPr="00124AD6">
        <w:rPr>
          <w:rFonts w:eastAsia="Calibri"/>
          <w:b/>
          <w:bCs/>
          <w:color w:val="000000"/>
          <w:lang w:val="es-GT" w:eastAsia="es-GT"/>
        </w:rPr>
        <w:t>Puntos</w:t>
      </w:r>
    </w:p>
    <w:p w:rsidR="003E15D6" w:rsidRPr="00124AD6" w:rsidRDefault="003E15D6" w:rsidP="003E15D6">
      <w:pPr>
        <w:jc w:val="both"/>
        <w:rPr>
          <w:lang w:val="es-MX"/>
        </w:rPr>
      </w:pPr>
      <w:r>
        <w:rPr>
          <w:noProof/>
          <w:lang w:val="es-GT" w:eastAsia="es-GT"/>
        </w:rPr>
        <w:drawing>
          <wp:inline distT="0" distB="0" distL="0" distR="0" wp14:anchorId="7CF8B304" wp14:editId="6BF897A9">
            <wp:extent cx="5612130" cy="2872740"/>
            <wp:effectExtent l="0" t="0" r="7620" b="3810"/>
            <wp:docPr id="16" name="Gráfico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E15D6" w:rsidRPr="0075702C" w:rsidRDefault="003E15D6" w:rsidP="003E15D6">
      <w:pPr>
        <w:jc w:val="both"/>
        <w:rPr>
          <w:sz w:val="10"/>
          <w:lang w:val="es-MX"/>
        </w:rPr>
      </w:pPr>
    </w:p>
    <w:p w:rsidR="003E15D6" w:rsidRPr="00442774" w:rsidRDefault="003E7770" w:rsidP="003E15D6">
      <w:pPr>
        <w:jc w:val="both"/>
        <w:rPr>
          <w:sz w:val="16"/>
          <w:lang w:val="es-MX"/>
        </w:rPr>
      </w:pPr>
      <w:r>
        <w:rPr>
          <w:sz w:val="18"/>
          <w:lang w:val="es-MX"/>
        </w:rPr>
        <w:t xml:space="preserve">  </w:t>
      </w:r>
      <w:r w:rsidR="00E21B2E">
        <w:rPr>
          <w:sz w:val="18"/>
          <w:lang w:val="es-MX"/>
        </w:rPr>
        <w:t xml:space="preserve">        </w:t>
      </w:r>
      <w:r>
        <w:rPr>
          <w:sz w:val="18"/>
          <w:lang w:val="es-MX"/>
        </w:rPr>
        <w:t xml:space="preserve"> </w:t>
      </w:r>
      <w:r w:rsidR="003E15D6" w:rsidRPr="0075746F">
        <w:rPr>
          <w:sz w:val="18"/>
          <w:lang w:val="es-MX"/>
        </w:rPr>
        <w:t>Fuente: Banco de Guatemala</w:t>
      </w:r>
      <w:r w:rsidR="003E15D6">
        <w:rPr>
          <w:sz w:val="16"/>
          <w:lang w:val="es-MX"/>
        </w:rPr>
        <w:t>.</w:t>
      </w:r>
    </w:p>
    <w:p w:rsidR="003E15D6" w:rsidRDefault="003E15D6" w:rsidP="003E15D6">
      <w:pPr>
        <w:jc w:val="both"/>
        <w:rPr>
          <w:lang w:val="es-MX"/>
        </w:rPr>
      </w:pPr>
    </w:p>
    <w:p w:rsidR="0075702C" w:rsidRPr="00124AD6" w:rsidRDefault="0075702C" w:rsidP="003E15D6">
      <w:pPr>
        <w:jc w:val="both"/>
        <w:rPr>
          <w:lang w:val="es-MX"/>
        </w:rPr>
      </w:pPr>
    </w:p>
    <w:p w:rsidR="003E15D6" w:rsidRDefault="003E15D6" w:rsidP="003E15D6">
      <w:pPr>
        <w:jc w:val="both"/>
      </w:pPr>
      <w:r>
        <w:t xml:space="preserve">El Índice de Precios al Consumidor (IPC) presentó una variación interanual de 3.4% en diciembre </w:t>
      </w:r>
      <w:r w:rsidR="0075746F">
        <w:t xml:space="preserve">de </w:t>
      </w:r>
      <w:r>
        <w:t xml:space="preserve">2019, superior en 1.1 puntos porcentuales al registrado en diciembre </w:t>
      </w:r>
      <w:r w:rsidR="0075746F">
        <w:t xml:space="preserve">de </w:t>
      </w:r>
      <w:r>
        <w:t>2018 (2.3%), mientras que la variación mensual fue de 0.6%, superior en 0.</w:t>
      </w:r>
      <w:r w:rsidR="0075746F">
        <w:t>5</w:t>
      </w:r>
      <w:r>
        <w:t xml:space="preserve"> puntos porcentuales al registrado en diciembre </w:t>
      </w:r>
      <w:r w:rsidR="0075746F">
        <w:t xml:space="preserve">de </w:t>
      </w:r>
      <w:r>
        <w:t xml:space="preserve">2018, cuando </w:t>
      </w:r>
      <w:r w:rsidR="0075746F">
        <w:t>é</w:t>
      </w:r>
      <w:r>
        <w:t>sta llegó a 0.1%. La inflación anual se mantuvo dentro del rango de la meta prevista de inflación por la Junta Monetaria para 2019, que estableció un valor central de 4</w:t>
      </w:r>
      <w:r w:rsidR="0075746F">
        <w:t>.0</w:t>
      </w:r>
      <w:r>
        <w:t>% y un rango variable entre 3</w:t>
      </w:r>
      <w:r w:rsidR="0075746F">
        <w:t>.0</w:t>
      </w:r>
      <w:r>
        <w:t>% y 5</w:t>
      </w:r>
      <w:r w:rsidR="0075746F">
        <w:t>.0</w:t>
      </w:r>
      <w:r>
        <w:t>%.</w:t>
      </w:r>
    </w:p>
    <w:p w:rsidR="003E15D6" w:rsidRDefault="003E15D6" w:rsidP="003E15D6">
      <w:pPr>
        <w:jc w:val="both"/>
      </w:pPr>
    </w:p>
    <w:p w:rsidR="003E15D6" w:rsidRPr="008578BF" w:rsidRDefault="003E15D6" w:rsidP="003E15D6">
      <w:pPr>
        <w:jc w:val="both"/>
      </w:pPr>
      <w:r>
        <w:t>El nivel de inflación que se registró durante el mes de diciembre (0.6%) se debe principalmente a un alza en el nivel de precios en las divisiones de alimentos (1.2%), vivienda (0.</w:t>
      </w:r>
      <w:r w:rsidR="0075746F">
        <w:t>6%</w:t>
      </w:r>
      <w:r>
        <w:t>), transporte (0.3%), y recreación (0.</w:t>
      </w:r>
      <w:r w:rsidR="0075746F">
        <w:t>2</w:t>
      </w:r>
      <w:r>
        <w:t>%), pero también a disminuciones en las divisiones de bebidas alcohólicas (-0.</w:t>
      </w:r>
      <w:r w:rsidR="0075746F">
        <w:t>4</w:t>
      </w:r>
      <w:r>
        <w:t xml:space="preserve">%), vestuario (-0.2%), y muebles y artículos para el hogar (-0.2%). (Banco de Guatemala, </w:t>
      </w:r>
      <w:r w:rsidRPr="00900EAD">
        <w:t xml:space="preserve">Desempeño Macroeconómico Reciente </w:t>
      </w:r>
      <w:r>
        <w:t xml:space="preserve">y </w:t>
      </w:r>
      <w:r w:rsidRPr="00900EAD">
        <w:t>Perspectivas</w:t>
      </w:r>
      <w:r>
        <w:t xml:space="preserve">, enero </w:t>
      </w:r>
      <w:r w:rsidR="0075746F">
        <w:t xml:space="preserve">de </w:t>
      </w:r>
      <w:r>
        <w:t xml:space="preserve">2020; </w:t>
      </w:r>
      <w:r w:rsidR="0075746F">
        <w:t xml:space="preserve"> </w:t>
      </w:r>
      <w:r>
        <w:t>F</w:t>
      </w:r>
      <w:r w:rsidR="0075746F">
        <w:t>UNDESA,</w:t>
      </w:r>
      <w:r>
        <w:t xml:space="preserve"> </w:t>
      </w:r>
      <w:r w:rsidRPr="00900EAD">
        <w:t xml:space="preserve">Reporte de los principales indicadores de la economía durante diciembre </w:t>
      </w:r>
      <w:r w:rsidR="0075746F">
        <w:t xml:space="preserve">de </w:t>
      </w:r>
      <w:r w:rsidRPr="00900EAD">
        <w:t xml:space="preserve">2019 y enero </w:t>
      </w:r>
      <w:r w:rsidR="0075746F">
        <w:t xml:space="preserve">de </w:t>
      </w:r>
      <w:r w:rsidRPr="00900EAD">
        <w:t>2020</w:t>
      </w:r>
      <w:r>
        <w:t>).</w:t>
      </w:r>
    </w:p>
    <w:p w:rsidR="003E15D6" w:rsidRDefault="003E15D6" w:rsidP="003E15D6">
      <w:pPr>
        <w:jc w:val="center"/>
        <w:rPr>
          <w:b/>
        </w:rPr>
      </w:pPr>
    </w:p>
    <w:p w:rsidR="003E15D6" w:rsidRDefault="003E15D6" w:rsidP="003E15D6">
      <w:pPr>
        <w:jc w:val="center"/>
        <w:rPr>
          <w:b/>
        </w:rPr>
      </w:pPr>
    </w:p>
    <w:p w:rsidR="003E15D6" w:rsidRDefault="003E15D6" w:rsidP="003E15D6">
      <w:pPr>
        <w:rPr>
          <w:b/>
        </w:rPr>
      </w:pPr>
      <w:r>
        <w:rPr>
          <w:b/>
        </w:rPr>
        <w:br w:type="page"/>
      </w:r>
    </w:p>
    <w:p w:rsidR="003E15D6" w:rsidRPr="00124AD6" w:rsidRDefault="003E15D6" w:rsidP="003E15D6">
      <w:pPr>
        <w:jc w:val="center"/>
        <w:rPr>
          <w:b/>
        </w:rPr>
      </w:pPr>
      <w:r w:rsidRPr="00124AD6">
        <w:rPr>
          <w:b/>
        </w:rPr>
        <w:lastRenderedPageBreak/>
        <w:t xml:space="preserve">Gráfica </w:t>
      </w:r>
      <w:r>
        <w:rPr>
          <w:b/>
        </w:rPr>
        <w:t>3</w:t>
      </w:r>
    </w:p>
    <w:p w:rsidR="003E15D6" w:rsidRDefault="003E15D6" w:rsidP="003E15D6">
      <w:pPr>
        <w:jc w:val="center"/>
        <w:rPr>
          <w:b/>
        </w:rPr>
      </w:pPr>
      <w:r w:rsidRPr="00124AD6">
        <w:rPr>
          <w:b/>
        </w:rPr>
        <w:t>Guatemala: Ritmo Inflacionario</w:t>
      </w:r>
      <w:r>
        <w:rPr>
          <w:b/>
        </w:rPr>
        <w:t xml:space="preserve"> Total y Subyacente</w:t>
      </w:r>
    </w:p>
    <w:p w:rsidR="003E15D6" w:rsidRDefault="003E15D6" w:rsidP="003E15D6">
      <w:pPr>
        <w:jc w:val="center"/>
        <w:rPr>
          <w:b/>
        </w:rPr>
      </w:pPr>
      <w:r>
        <w:rPr>
          <w:b/>
        </w:rPr>
        <w:t>Período 2012</w:t>
      </w:r>
      <w:r w:rsidR="00C9646A">
        <w:rPr>
          <w:b/>
        </w:rPr>
        <w:t xml:space="preserve"> </w:t>
      </w:r>
      <w:r>
        <w:rPr>
          <w:b/>
        </w:rPr>
        <w:t>-</w:t>
      </w:r>
      <w:r w:rsidR="00C9646A">
        <w:rPr>
          <w:b/>
        </w:rPr>
        <w:t xml:space="preserve"> </w:t>
      </w:r>
      <w:r>
        <w:rPr>
          <w:b/>
        </w:rPr>
        <w:t>2019</w:t>
      </w:r>
    </w:p>
    <w:p w:rsidR="003E15D6" w:rsidRDefault="00BA4BE5" w:rsidP="003E15D6">
      <w:pPr>
        <w:jc w:val="center"/>
        <w:rPr>
          <w:b/>
        </w:rPr>
      </w:pPr>
      <w:r w:rsidRPr="000C55DC">
        <w:rPr>
          <w:noProof/>
          <w:lang w:val="es-GT" w:eastAsia="es-GT"/>
        </w:rPr>
        <w:drawing>
          <wp:inline distT="0" distB="0" distL="0" distR="0" wp14:anchorId="3ADF2E4C" wp14:editId="1EFFF5D9">
            <wp:extent cx="5808269" cy="3467405"/>
            <wp:effectExtent l="0" t="0" r="2540" b="0"/>
            <wp:docPr id="19" name="Gráfico 19">
              <a:extLst xmlns:a="http://schemas.openxmlformats.org/drawingml/2006/main">
                <a:ext uri="{FF2B5EF4-FFF2-40B4-BE49-F238E27FC236}">
                  <a16:creationId xmlns:arto="http://schemas.microsoft.com/office/word/2006/arto"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3E15D6" w:rsidRPr="00C9646A" w:rsidRDefault="003E7770" w:rsidP="003E15D6">
      <w:pPr>
        <w:rPr>
          <w:sz w:val="18"/>
          <w:lang w:val="es-MX"/>
        </w:rPr>
      </w:pPr>
      <w:r>
        <w:rPr>
          <w:sz w:val="18"/>
          <w:lang w:val="es-MX"/>
        </w:rPr>
        <w:t xml:space="preserve">   </w:t>
      </w:r>
      <w:r w:rsidR="00D84086">
        <w:rPr>
          <w:sz w:val="18"/>
          <w:lang w:val="es-MX"/>
        </w:rPr>
        <w:t xml:space="preserve"> </w:t>
      </w:r>
      <w:r w:rsidR="007B162E">
        <w:rPr>
          <w:sz w:val="18"/>
          <w:lang w:val="es-MX"/>
        </w:rPr>
        <w:t xml:space="preserve">    </w:t>
      </w:r>
      <w:r>
        <w:rPr>
          <w:sz w:val="18"/>
          <w:lang w:val="es-MX"/>
        </w:rPr>
        <w:t xml:space="preserve"> </w:t>
      </w:r>
      <w:r w:rsidR="003E15D6" w:rsidRPr="00C9646A">
        <w:rPr>
          <w:sz w:val="18"/>
          <w:lang w:val="es-MX"/>
        </w:rPr>
        <w:t>Fuente: Banco de Guatemala.</w:t>
      </w:r>
    </w:p>
    <w:p w:rsidR="003E15D6" w:rsidRPr="00C9646A" w:rsidRDefault="003E7770" w:rsidP="003E15D6">
      <w:pPr>
        <w:rPr>
          <w:sz w:val="18"/>
          <w:lang w:val="es-MX"/>
        </w:rPr>
      </w:pPr>
      <w:r>
        <w:rPr>
          <w:sz w:val="18"/>
          <w:lang w:val="es-MX"/>
        </w:rPr>
        <w:t xml:space="preserve"> </w:t>
      </w:r>
      <w:r w:rsidR="007B162E">
        <w:rPr>
          <w:sz w:val="18"/>
          <w:lang w:val="es-MX"/>
        </w:rPr>
        <w:t xml:space="preserve">    </w:t>
      </w:r>
      <w:r w:rsidR="00D84086">
        <w:rPr>
          <w:sz w:val="18"/>
          <w:lang w:val="es-MX"/>
        </w:rPr>
        <w:t xml:space="preserve"> </w:t>
      </w:r>
      <w:r>
        <w:rPr>
          <w:sz w:val="18"/>
          <w:lang w:val="es-MX"/>
        </w:rPr>
        <w:t xml:space="preserve">   </w:t>
      </w:r>
      <w:r w:rsidR="003E15D6" w:rsidRPr="00C9646A">
        <w:rPr>
          <w:sz w:val="18"/>
          <w:lang w:val="es-MX"/>
        </w:rPr>
        <w:t>Base de datos inflación subyacente y ritmo inflacionario total 2019.</w:t>
      </w:r>
    </w:p>
    <w:p w:rsidR="003E15D6" w:rsidRPr="00C9646A" w:rsidRDefault="003E15D6" w:rsidP="003E15D6">
      <w:pPr>
        <w:jc w:val="both"/>
        <w:rPr>
          <w:sz w:val="28"/>
        </w:rPr>
      </w:pPr>
    </w:p>
    <w:p w:rsidR="003E15D6" w:rsidRPr="003E7770" w:rsidRDefault="003E15D6" w:rsidP="003E15D6"/>
    <w:p w:rsidR="003E15D6" w:rsidRDefault="003E15D6" w:rsidP="003E15D6">
      <w:pPr>
        <w:jc w:val="both"/>
        <w:rPr>
          <w:lang w:val="es-MX"/>
        </w:rPr>
      </w:pPr>
      <w:r w:rsidRPr="00124AD6">
        <w:rPr>
          <w:lang w:val="es-MX"/>
        </w:rPr>
        <w:t>En forma preliminar</w:t>
      </w:r>
      <w:r>
        <w:rPr>
          <w:lang w:val="es-MX"/>
        </w:rPr>
        <w:t>,</w:t>
      </w:r>
      <w:r w:rsidRPr="00124AD6">
        <w:rPr>
          <w:lang w:val="es-MX"/>
        </w:rPr>
        <w:t xml:space="preserve"> </w:t>
      </w:r>
      <w:r w:rsidRPr="00900EAD">
        <w:rPr>
          <w:lang w:val="es-MX"/>
        </w:rPr>
        <w:t>el ingreso de divisas por exportaciones acu</w:t>
      </w:r>
      <w:r w:rsidR="00CF2FE5">
        <w:rPr>
          <w:lang w:val="es-MX"/>
        </w:rPr>
        <w:t xml:space="preserve">mulado hasta el 31 de diciembre de </w:t>
      </w:r>
      <w:r w:rsidRPr="00900EAD">
        <w:rPr>
          <w:lang w:val="es-MX"/>
        </w:rPr>
        <w:t xml:space="preserve">2019 registró un ingreso de US$7,626 millones, que representa un monto superior al registrado hasta el 31 de diciembre </w:t>
      </w:r>
      <w:r w:rsidR="00CF2FE5">
        <w:rPr>
          <w:lang w:val="es-MX"/>
        </w:rPr>
        <w:t xml:space="preserve">de 2018 en un 6.4%. </w:t>
      </w:r>
      <w:r w:rsidRPr="00900EAD">
        <w:rPr>
          <w:lang w:val="es-MX"/>
        </w:rPr>
        <w:t>Este comportamiento se debe a variaciones en los distintos rubros, principalmente a un mayor dinamismo en las exportaciones de algunos productos tradicionales como cardamomo (+43%), azúcar (+5%), y banano (+5%); así como frutas y sus preparados (+25%); productos de vidrio (+14%); verduras y legumbres (+86%); tabaco en rama, miel de purga, y caucho natural, entre otros.  Por otra parte, se registran caídas en las exportaciones de café (-4%), artículos de vestuario (-2%) y productos metálicos (-12%)</w:t>
      </w:r>
      <w:r>
        <w:rPr>
          <w:lang w:val="es-MX"/>
        </w:rPr>
        <w:t>.</w:t>
      </w:r>
    </w:p>
    <w:p w:rsidR="003E15D6" w:rsidRPr="00255B7C" w:rsidRDefault="003E15D6" w:rsidP="003E15D6">
      <w:pPr>
        <w:jc w:val="both"/>
        <w:rPr>
          <w:sz w:val="28"/>
          <w:lang w:val="es-MX"/>
        </w:rPr>
      </w:pPr>
    </w:p>
    <w:p w:rsidR="003E15D6" w:rsidRDefault="003E15D6" w:rsidP="003E15D6">
      <w:pPr>
        <w:jc w:val="both"/>
        <w:rPr>
          <w:lang w:val="es-MX"/>
        </w:rPr>
      </w:pPr>
      <w:r w:rsidRPr="00900EAD">
        <w:rPr>
          <w:lang w:val="es-MX"/>
        </w:rPr>
        <w:t>En cuanto al ingreso de divisas por exportaciones a Centro</w:t>
      </w:r>
      <w:r w:rsidR="00CF2FE5">
        <w:rPr>
          <w:lang w:val="es-MX"/>
        </w:rPr>
        <w:t xml:space="preserve"> A</w:t>
      </w:r>
      <w:r w:rsidRPr="00900EAD">
        <w:rPr>
          <w:lang w:val="es-MX"/>
        </w:rPr>
        <w:t xml:space="preserve">mérica, éstas muestran una leve disminución, al reportar un ingreso de divisas por US$2,938 millones hasta el 31 de diciembre </w:t>
      </w:r>
      <w:r w:rsidR="00CF2FE5">
        <w:rPr>
          <w:lang w:val="es-MX"/>
        </w:rPr>
        <w:t xml:space="preserve">de </w:t>
      </w:r>
      <w:r w:rsidRPr="00900EAD">
        <w:rPr>
          <w:lang w:val="es-MX"/>
        </w:rPr>
        <w:t>2019, que representa un 1</w:t>
      </w:r>
      <w:r w:rsidR="00CF2FE5">
        <w:rPr>
          <w:lang w:val="es-MX"/>
        </w:rPr>
        <w:t>.0</w:t>
      </w:r>
      <w:r w:rsidRPr="00900EAD">
        <w:rPr>
          <w:lang w:val="es-MX"/>
        </w:rPr>
        <w:t>% menos que en el 2018</w:t>
      </w:r>
      <w:r w:rsidR="00CF2FE5">
        <w:rPr>
          <w:lang w:val="es-MX"/>
        </w:rPr>
        <w:t>.</w:t>
      </w:r>
    </w:p>
    <w:p w:rsidR="003E15D6" w:rsidRDefault="003E15D6" w:rsidP="003E15D6">
      <w:pPr>
        <w:rPr>
          <w:lang w:val="es-MX"/>
        </w:rPr>
      </w:pPr>
      <w:r>
        <w:rPr>
          <w:lang w:val="es-MX"/>
        </w:rPr>
        <w:br w:type="page"/>
      </w:r>
    </w:p>
    <w:p w:rsidR="003E15D6" w:rsidRPr="00124AD6" w:rsidRDefault="003E15D6" w:rsidP="003E15D6">
      <w:pPr>
        <w:jc w:val="both"/>
        <w:rPr>
          <w:lang w:val="es-MX"/>
        </w:rPr>
      </w:pPr>
    </w:p>
    <w:p w:rsidR="003E15D6" w:rsidRPr="00812ACB" w:rsidRDefault="003E15D6" w:rsidP="003E15D6">
      <w:pPr>
        <w:jc w:val="both"/>
        <w:rPr>
          <w:lang w:val="es-MX"/>
        </w:rPr>
      </w:pPr>
      <w:r w:rsidRPr="00124AD6">
        <w:rPr>
          <w:lang w:val="es-MX"/>
        </w:rPr>
        <w:t xml:space="preserve">Por su parte, las remesas familiares registraron un crecimiento de </w:t>
      </w:r>
      <w:r>
        <w:rPr>
          <w:lang w:val="es-MX"/>
        </w:rPr>
        <w:t>$1,220.5 millones (13.1%)</w:t>
      </w:r>
      <w:r w:rsidRPr="00124AD6">
        <w:rPr>
          <w:lang w:val="es-MX"/>
        </w:rPr>
        <w:t>, con relación a 201</w:t>
      </w:r>
      <w:r>
        <w:rPr>
          <w:lang w:val="es-MX"/>
        </w:rPr>
        <w:t>8</w:t>
      </w:r>
      <w:r w:rsidRPr="00124AD6">
        <w:rPr>
          <w:lang w:val="es-MX"/>
        </w:rPr>
        <w:t xml:space="preserve"> </w:t>
      </w:r>
      <w:r w:rsidRPr="00BE3F06">
        <w:rPr>
          <w:lang w:val="es-MX"/>
        </w:rPr>
        <w:t xml:space="preserve">Dicho resultado sigue explicándose, principalmente, por la reducción del nivel de desempleo hispano </w:t>
      </w:r>
      <w:r>
        <w:rPr>
          <w:lang w:val="es-MX"/>
        </w:rPr>
        <w:t xml:space="preserve">y </w:t>
      </w:r>
      <w:r w:rsidRPr="00BE3F06">
        <w:rPr>
          <w:lang w:val="es-MX"/>
        </w:rPr>
        <w:t xml:space="preserve">el incremento del número de guatemaltecos que residen </w:t>
      </w:r>
      <w:r w:rsidR="00154855">
        <w:rPr>
          <w:lang w:val="es-MX"/>
        </w:rPr>
        <w:t xml:space="preserve">en </w:t>
      </w:r>
      <w:r>
        <w:rPr>
          <w:lang w:val="es-MX"/>
        </w:rPr>
        <w:t xml:space="preserve">los Estados Unidos de Norteamérica y </w:t>
      </w:r>
      <w:r w:rsidRPr="00812ACB">
        <w:rPr>
          <w:lang w:val="es-MX"/>
        </w:rPr>
        <w:t>además de los flujos extraordinarios de divisas que ha propiciado la actual política migratoria del gobierno estadounidense.</w:t>
      </w:r>
      <w:r>
        <w:rPr>
          <w:lang w:val="es-MX"/>
        </w:rPr>
        <w:t xml:space="preserve"> (</w:t>
      </w:r>
      <w:r w:rsidRPr="00812ACB">
        <w:rPr>
          <w:lang w:val="es-MX"/>
        </w:rPr>
        <w:t>Banco de Guatemala,</w:t>
      </w:r>
      <w:r>
        <w:rPr>
          <w:lang w:val="es-MX"/>
        </w:rPr>
        <w:t xml:space="preserve"> 2019.</w:t>
      </w:r>
      <w:r w:rsidRPr="00812ACB">
        <w:rPr>
          <w:lang w:val="es-MX"/>
        </w:rPr>
        <w:t xml:space="preserve"> Informe de</w:t>
      </w:r>
      <w:r>
        <w:rPr>
          <w:lang w:val="es-MX"/>
        </w:rPr>
        <w:t xml:space="preserve"> </w:t>
      </w:r>
      <w:r w:rsidRPr="00812ACB">
        <w:rPr>
          <w:lang w:val="es-MX"/>
        </w:rPr>
        <w:t xml:space="preserve">Política </w:t>
      </w:r>
      <w:r w:rsidR="00154855">
        <w:rPr>
          <w:lang w:val="es-MX"/>
        </w:rPr>
        <w:t>M</w:t>
      </w:r>
      <w:r w:rsidRPr="00812ACB">
        <w:rPr>
          <w:lang w:val="es-MX"/>
        </w:rPr>
        <w:t>onetaria</w:t>
      </w:r>
      <w:r>
        <w:rPr>
          <w:lang w:val="es-MX"/>
        </w:rPr>
        <w:t xml:space="preserve"> a</w:t>
      </w:r>
      <w:r w:rsidRPr="00812ACB">
        <w:rPr>
          <w:lang w:val="es-MX"/>
        </w:rPr>
        <w:t xml:space="preserve"> septiembre</w:t>
      </w:r>
      <w:r>
        <w:rPr>
          <w:lang w:val="es-MX"/>
        </w:rPr>
        <w:t xml:space="preserve"> </w:t>
      </w:r>
      <w:r w:rsidRPr="00812ACB">
        <w:rPr>
          <w:lang w:val="es-MX"/>
        </w:rPr>
        <w:t>de 2019; F</w:t>
      </w:r>
      <w:r w:rsidR="00154855">
        <w:rPr>
          <w:lang w:val="es-MX"/>
        </w:rPr>
        <w:t>UNDESA</w:t>
      </w:r>
      <w:r w:rsidRPr="00812ACB">
        <w:rPr>
          <w:lang w:val="es-MX"/>
        </w:rPr>
        <w:t xml:space="preserve">. </w:t>
      </w:r>
      <w:r w:rsidR="005E6137" w:rsidRPr="00812ACB">
        <w:rPr>
          <w:lang w:val="es-MX"/>
        </w:rPr>
        <w:t>Ídem</w:t>
      </w:r>
      <w:r w:rsidRPr="00812ACB">
        <w:rPr>
          <w:lang w:val="es-MX"/>
        </w:rPr>
        <w:t>).</w:t>
      </w:r>
    </w:p>
    <w:p w:rsidR="003E15D6" w:rsidRPr="00255B7C" w:rsidRDefault="003E15D6" w:rsidP="003E15D6">
      <w:pPr>
        <w:autoSpaceDE w:val="0"/>
        <w:autoSpaceDN w:val="0"/>
        <w:adjustRightInd w:val="0"/>
        <w:rPr>
          <w:sz w:val="32"/>
          <w:lang w:val="es-MX"/>
        </w:rPr>
      </w:pPr>
    </w:p>
    <w:p w:rsidR="003E15D6" w:rsidRPr="00124AD6" w:rsidRDefault="003E15D6" w:rsidP="003E15D6">
      <w:pPr>
        <w:jc w:val="center"/>
        <w:rPr>
          <w:b/>
        </w:rPr>
      </w:pPr>
      <w:r w:rsidRPr="00124AD6">
        <w:rPr>
          <w:b/>
        </w:rPr>
        <w:t xml:space="preserve">Gráfica </w:t>
      </w:r>
      <w:r>
        <w:rPr>
          <w:b/>
        </w:rPr>
        <w:t>4</w:t>
      </w:r>
    </w:p>
    <w:p w:rsidR="003E15D6" w:rsidRDefault="003E15D6" w:rsidP="003E15D6">
      <w:pPr>
        <w:jc w:val="center"/>
        <w:rPr>
          <w:b/>
        </w:rPr>
      </w:pPr>
      <w:r w:rsidRPr="00124AD6">
        <w:rPr>
          <w:b/>
        </w:rPr>
        <w:t>Guatemala: Remesas Familiares</w:t>
      </w:r>
    </w:p>
    <w:p w:rsidR="003E15D6" w:rsidRPr="00124AD6" w:rsidRDefault="003E15D6" w:rsidP="003E15D6">
      <w:pPr>
        <w:jc w:val="center"/>
        <w:rPr>
          <w:b/>
        </w:rPr>
      </w:pPr>
      <w:r>
        <w:rPr>
          <w:b/>
        </w:rPr>
        <w:t>En Millones de US Dólares</w:t>
      </w:r>
    </w:p>
    <w:p w:rsidR="003E15D6" w:rsidRDefault="003E15D6" w:rsidP="003E15D6">
      <w:pPr>
        <w:jc w:val="center"/>
        <w:rPr>
          <w:b/>
        </w:rPr>
      </w:pPr>
      <w:r w:rsidRPr="00124AD6">
        <w:rPr>
          <w:b/>
        </w:rPr>
        <w:t xml:space="preserve">(Acumulado </w:t>
      </w:r>
      <w:r>
        <w:rPr>
          <w:b/>
        </w:rPr>
        <w:t>A</w:t>
      </w:r>
      <w:r w:rsidRPr="00124AD6">
        <w:rPr>
          <w:b/>
        </w:rPr>
        <w:t>nual 2010 - 201</w:t>
      </w:r>
      <w:r>
        <w:rPr>
          <w:b/>
        </w:rPr>
        <w:t>9</w:t>
      </w:r>
      <w:r w:rsidRPr="00124AD6">
        <w:rPr>
          <w:b/>
        </w:rPr>
        <w:t>)</w:t>
      </w:r>
    </w:p>
    <w:p w:rsidR="003D4A69" w:rsidRDefault="003D4A69" w:rsidP="003E15D6">
      <w:pPr>
        <w:jc w:val="center"/>
        <w:rPr>
          <w:b/>
        </w:rPr>
      </w:pPr>
      <w:r>
        <w:rPr>
          <w:noProof/>
          <w:lang w:val="es-GT" w:eastAsia="es-GT"/>
        </w:rPr>
        <w:drawing>
          <wp:inline distT="0" distB="0" distL="0" distR="0" wp14:anchorId="5689744A" wp14:editId="723F24D4">
            <wp:extent cx="5610758" cy="3079699"/>
            <wp:effectExtent l="0" t="0" r="0" b="6985"/>
            <wp:docPr id="1" name="Gráfico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xmlns:arto="http://schemas.microsoft.com/office/word/2006/arto"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F669A" w:rsidRPr="003F669A" w:rsidRDefault="003E15D6" w:rsidP="003E15D6">
      <w:pPr>
        <w:jc w:val="both"/>
        <w:rPr>
          <w:noProof/>
          <w:sz w:val="12"/>
        </w:rPr>
      </w:pPr>
      <w:r>
        <w:rPr>
          <w:noProof/>
          <w:sz w:val="16"/>
        </w:rPr>
        <w:t xml:space="preserve"> </w:t>
      </w:r>
      <w:r w:rsidR="0096707D">
        <w:rPr>
          <w:noProof/>
          <w:sz w:val="16"/>
        </w:rPr>
        <w:t xml:space="preserve">                         </w:t>
      </w:r>
    </w:p>
    <w:p w:rsidR="003E15D6" w:rsidRPr="00442774" w:rsidRDefault="003F669A" w:rsidP="003E15D6">
      <w:pPr>
        <w:jc w:val="both"/>
        <w:rPr>
          <w:noProof/>
          <w:sz w:val="16"/>
        </w:rPr>
      </w:pPr>
      <w:r>
        <w:rPr>
          <w:noProof/>
          <w:sz w:val="16"/>
        </w:rPr>
        <w:t xml:space="preserve">                           </w:t>
      </w:r>
      <w:r w:rsidR="003E15D6" w:rsidRPr="00442774">
        <w:rPr>
          <w:noProof/>
          <w:sz w:val="16"/>
        </w:rPr>
        <w:t>Fuente: Banco de Guatemala</w:t>
      </w:r>
      <w:r w:rsidR="003E15D6">
        <w:rPr>
          <w:noProof/>
          <w:sz w:val="16"/>
        </w:rPr>
        <w:t>.</w:t>
      </w:r>
    </w:p>
    <w:p w:rsidR="003E15D6" w:rsidRPr="00255B7C" w:rsidRDefault="003E15D6" w:rsidP="003E15D6">
      <w:pPr>
        <w:jc w:val="both"/>
        <w:rPr>
          <w:sz w:val="28"/>
          <w:lang w:val="es-MX"/>
        </w:rPr>
      </w:pPr>
    </w:p>
    <w:p w:rsidR="0075264A" w:rsidRPr="00255B7C" w:rsidRDefault="0075264A" w:rsidP="003E15D6">
      <w:pPr>
        <w:jc w:val="both"/>
        <w:rPr>
          <w:sz w:val="28"/>
          <w:lang w:val="es-MX"/>
        </w:rPr>
      </w:pPr>
    </w:p>
    <w:p w:rsidR="003E15D6" w:rsidRDefault="003E15D6" w:rsidP="003E15D6">
      <w:pPr>
        <w:jc w:val="both"/>
        <w:rPr>
          <w:lang w:val="es-MX"/>
        </w:rPr>
      </w:pPr>
      <w:r>
        <w:rPr>
          <w:lang w:val="es-MX"/>
        </w:rPr>
        <w:t xml:space="preserve">Las </w:t>
      </w:r>
      <w:r w:rsidRPr="00124AD6">
        <w:rPr>
          <w:lang w:val="es-MX"/>
        </w:rPr>
        <w:t>Reservas Monetarias Internacionales</w:t>
      </w:r>
      <w:r>
        <w:rPr>
          <w:lang w:val="es-MX"/>
        </w:rPr>
        <w:t xml:space="preserve"> </w:t>
      </w:r>
      <w:r w:rsidRPr="00124AD6">
        <w:rPr>
          <w:lang w:val="es-MX"/>
        </w:rPr>
        <w:t>Netas</w:t>
      </w:r>
      <w:r>
        <w:rPr>
          <w:lang w:val="es-MX"/>
        </w:rPr>
        <w:t xml:space="preserve"> </w:t>
      </w:r>
      <w:r w:rsidR="00154855">
        <w:rPr>
          <w:lang w:val="es-MX"/>
        </w:rPr>
        <w:t>(</w:t>
      </w:r>
      <w:r>
        <w:rPr>
          <w:lang w:val="es-MX"/>
        </w:rPr>
        <w:t>RIN</w:t>
      </w:r>
      <w:r w:rsidR="00154855">
        <w:rPr>
          <w:lang w:val="es-MX"/>
        </w:rPr>
        <w:t>)</w:t>
      </w:r>
      <w:r>
        <w:rPr>
          <w:lang w:val="es-MX"/>
        </w:rPr>
        <w:t xml:space="preserve">, </w:t>
      </w:r>
      <w:r w:rsidRPr="00124AD6">
        <w:rPr>
          <w:lang w:val="es-MX"/>
        </w:rPr>
        <w:t xml:space="preserve">continuaron reflejando </w:t>
      </w:r>
      <w:r>
        <w:rPr>
          <w:lang w:val="es-MX"/>
        </w:rPr>
        <w:t>l</w:t>
      </w:r>
      <w:r w:rsidRPr="00124AD6">
        <w:rPr>
          <w:lang w:val="es-MX"/>
        </w:rPr>
        <w:t xml:space="preserve">a sólida posición externa del país.  </w:t>
      </w:r>
      <w:r>
        <w:rPr>
          <w:lang w:val="es-MX"/>
        </w:rPr>
        <w:t xml:space="preserve">Al 31 de diciembre de 2019 </w:t>
      </w:r>
      <w:r w:rsidRPr="00124AD6">
        <w:rPr>
          <w:lang w:val="es-MX"/>
        </w:rPr>
        <w:t>se situ</w:t>
      </w:r>
      <w:r>
        <w:rPr>
          <w:lang w:val="es-MX"/>
        </w:rPr>
        <w:t>aron</w:t>
      </w:r>
      <w:r w:rsidRPr="00124AD6">
        <w:rPr>
          <w:lang w:val="es-MX"/>
        </w:rPr>
        <w:t xml:space="preserve"> en US$</w:t>
      </w:r>
      <w:r>
        <w:rPr>
          <w:lang w:val="es-MX"/>
        </w:rPr>
        <w:t>14,789</w:t>
      </w:r>
      <w:r w:rsidRPr="00124AD6">
        <w:rPr>
          <w:lang w:val="es-MX"/>
        </w:rPr>
        <w:t xml:space="preserve"> millones, </w:t>
      </w:r>
      <w:r>
        <w:rPr>
          <w:lang w:val="es-MX"/>
        </w:rPr>
        <w:t xml:space="preserve">monto superior en </w:t>
      </w:r>
      <w:r w:rsidRPr="00124AD6">
        <w:rPr>
          <w:lang w:val="es-MX"/>
        </w:rPr>
        <w:t>US$</w:t>
      </w:r>
      <w:r>
        <w:rPr>
          <w:lang w:val="es-MX"/>
        </w:rPr>
        <w:t xml:space="preserve">2,033.4 millones </w:t>
      </w:r>
      <w:r w:rsidRPr="00124AD6">
        <w:rPr>
          <w:lang w:val="es-MX"/>
        </w:rPr>
        <w:t xml:space="preserve">equivalente a </w:t>
      </w:r>
      <w:r>
        <w:rPr>
          <w:lang w:val="es-MX"/>
        </w:rPr>
        <w:t>15.9%</w:t>
      </w:r>
      <w:r w:rsidRPr="00124AD6">
        <w:rPr>
          <w:lang w:val="es-MX"/>
        </w:rPr>
        <w:t xml:space="preserve"> de incremento respecto </w:t>
      </w:r>
      <w:r>
        <w:rPr>
          <w:lang w:val="es-MX"/>
        </w:rPr>
        <w:t>de</w:t>
      </w:r>
      <w:r w:rsidRPr="00124AD6">
        <w:rPr>
          <w:lang w:val="es-MX"/>
        </w:rPr>
        <w:t xml:space="preserve"> 201</w:t>
      </w:r>
      <w:r>
        <w:rPr>
          <w:lang w:val="es-MX"/>
        </w:rPr>
        <w:t>8</w:t>
      </w:r>
      <w:r w:rsidRPr="00124AD6">
        <w:rPr>
          <w:lang w:val="es-MX"/>
        </w:rPr>
        <w:t xml:space="preserve">.  </w:t>
      </w:r>
      <w:r w:rsidRPr="00154855">
        <w:rPr>
          <w:lang w:val="es-MX"/>
        </w:rPr>
        <w:t>Lo anterior es resultado,</w:t>
      </w:r>
      <w:r w:rsidRPr="00154855">
        <w:t xml:space="preserve"> principalmente, de la colocación de Bonos del Tesoro de la República de Guatemala en el mercado internacional (US$1,200.0 millones) y de las compras netas por la activación de la regla cambiaria (US$932.4 millones a septiembre</w:t>
      </w:r>
      <w:r w:rsidR="00154855">
        <w:t xml:space="preserve"> de</w:t>
      </w:r>
      <w:r w:rsidRPr="00154855">
        <w:t xml:space="preserve"> 2019), los cuales fueron compensados, parcialmente, por los pagos netos </w:t>
      </w:r>
      <w:r w:rsidR="00154855">
        <w:t>de</w:t>
      </w:r>
      <w:r w:rsidRPr="00154855">
        <w:t xml:space="preserve"> deuda externa del sector público, por la amortización de los depósitos a plazo en dólares de los Estados Unidos de América emitidos por el Banco de Guatemala y por la disminución en la posición de encaje en moneda extranjera del sistema financiero. El referido nivel de RIN equivale a 8.2 meses de importación de bienes, lo que refleja la sólida posición externa del país</w:t>
      </w:r>
      <w:r>
        <w:rPr>
          <w:sz w:val="23"/>
          <w:szCs w:val="23"/>
        </w:rPr>
        <w:t>.</w:t>
      </w:r>
    </w:p>
    <w:p w:rsidR="003E15D6" w:rsidRDefault="003E15D6" w:rsidP="003E15D6">
      <w:pPr>
        <w:jc w:val="both"/>
        <w:rPr>
          <w:lang w:val="es-MX"/>
        </w:rPr>
      </w:pPr>
    </w:p>
    <w:p w:rsidR="0096707D" w:rsidRPr="0096707D" w:rsidRDefault="0096707D" w:rsidP="003E15D6">
      <w:pPr>
        <w:jc w:val="center"/>
        <w:rPr>
          <w:b/>
          <w:sz w:val="16"/>
          <w:lang w:val="es-MX"/>
        </w:rPr>
      </w:pPr>
    </w:p>
    <w:p w:rsidR="003E15D6" w:rsidRPr="00124AD6" w:rsidRDefault="003E15D6" w:rsidP="003E15D6">
      <w:pPr>
        <w:jc w:val="center"/>
        <w:rPr>
          <w:b/>
          <w:lang w:val="es-MX"/>
        </w:rPr>
      </w:pPr>
      <w:r w:rsidRPr="00124AD6">
        <w:rPr>
          <w:b/>
          <w:lang w:val="es-MX"/>
        </w:rPr>
        <w:t xml:space="preserve">Gráfica </w:t>
      </w:r>
      <w:r>
        <w:rPr>
          <w:b/>
          <w:lang w:val="es-MX"/>
        </w:rPr>
        <w:t>5</w:t>
      </w:r>
    </w:p>
    <w:p w:rsidR="003E15D6" w:rsidRPr="00124AD6" w:rsidRDefault="003E15D6" w:rsidP="003E15D6">
      <w:pPr>
        <w:jc w:val="center"/>
        <w:rPr>
          <w:b/>
          <w:lang w:val="es-MX"/>
        </w:rPr>
      </w:pPr>
      <w:r w:rsidRPr="00124AD6">
        <w:rPr>
          <w:b/>
          <w:lang w:val="es-MX"/>
        </w:rPr>
        <w:t>Reservas Monetarias Internacionales 2010</w:t>
      </w:r>
      <w:r w:rsidR="0075264A">
        <w:rPr>
          <w:b/>
          <w:lang w:val="es-MX"/>
        </w:rPr>
        <w:t xml:space="preserve"> </w:t>
      </w:r>
      <w:r w:rsidRPr="00124AD6">
        <w:rPr>
          <w:b/>
          <w:lang w:val="es-MX"/>
        </w:rPr>
        <w:t>-</w:t>
      </w:r>
      <w:r w:rsidR="0075264A">
        <w:rPr>
          <w:b/>
          <w:lang w:val="es-MX"/>
        </w:rPr>
        <w:t xml:space="preserve"> </w:t>
      </w:r>
      <w:r w:rsidRPr="00124AD6">
        <w:rPr>
          <w:b/>
          <w:lang w:val="es-MX"/>
        </w:rPr>
        <w:t>201</w:t>
      </w:r>
      <w:r>
        <w:rPr>
          <w:b/>
          <w:lang w:val="es-MX"/>
        </w:rPr>
        <w:t>9</w:t>
      </w:r>
    </w:p>
    <w:p w:rsidR="003E15D6" w:rsidRDefault="003E15D6" w:rsidP="003E15D6">
      <w:pPr>
        <w:jc w:val="center"/>
        <w:rPr>
          <w:b/>
          <w:lang w:val="es-MX"/>
        </w:rPr>
      </w:pPr>
      <w:r w:rsidRPr="00124AD6">
        <w:rPr>
          <w:b/>
          <w:lang w:val="es-MX"/>
        </w:rPr>
        <w:t>(En Millones de US Dólares)</w:t>
      </w:r>
    </w:p>
    <w:p w:rsidR="003D4A69" w:rsidRDefault="003D4A69" w:rsidP="003E15D6">
      <w:pPr>
        <w:jc w:val="center"/>
        <w:rPr>
          <w:noProof/>
          <w:lang w:val="es-GT" w:eastAsia="es-GT"/>
        </w:rPr>
      </w:pPr>
      <w:r>
        <w:rPr>
          <w:noProof/>
          <w:lang w:val="es-GT" w:eastAsia="es-GT"/>
        </w:rPr>
        <w:drawing>
          <wp:inline distT="0" distB="0" distL="0" distR="0" wp14:anchorId="65634CBC" wp14:editId="2D83B3D2">
            <wp:extent cx="5610759" cy="3621024"/>
            <wp:effectExtent l="0" t="0" r="0" b="0"/>
            <wp:docPr id="2" name="Gráfico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6707D" w:rsidRPr="0096707D" w:rsidRDefault="0096707D" w:rsidP="003E15D6">
      <w:pPr>
        <w:rPr>
          <w:sz w:val="10"/>
          <w:lang w:val="es-MX"/>
        </w:rPr>
      </w:pPr>
      <w:r>
        <w:rPr>
          <w:sz w:val="18"/>
          <w:lang w:val="es-MX"/>
        </w:rPr>
        <w:t xml:space="preserve">                            </w:t>
      </w:r>
    </w:p>
    <w:p w:rsidR="003E15D6" w:rsidRPr="0075264A" w:rsidRDefault="0096707D" w:rsidP="003E15D6">
      <w:pPr>
        <w:rPr>
          <w:sz w:val="28"/>
          <w:lang w:val="es-MX"/>
        </w:rPr>
      </w:pPr>
      <w:r>
        <w:rPr>
          <w:sz w:val="18"/>
          <w:lang w:val="es-MX"/>
        </w:rPr>
        <w:t xml:space="preserve">              </w:t>
      </w:r>
      <w:r w:rsidR="003D4A69">
        <w:rPr>
          <w:sz w:val="18"/>
          <w:lang w:val="es-MX"/>
        </w:rPr>
        <w:t xml:space="preserve"> </w:t>
      </w:r>
      <w:r>
        <w:rPr>
          <w:sz w:val="18"/>
          <w:lang w:val="es-MX"/>
        </w:rPr>
        <w:t xml:space="preserve"> </w:t>
      </w:r>
      <w:r w:rsidR="00D84086">
        <w:rPr>
          <w:sz w:val="18"/>
          <w:lang w:val="es-MX"/>
        </w:rPr>
        <w:t xml:space="preserve"> </w:t>
      </w:r>
      <w:r>
        <w:rPr>
          <w:sz w:val="18"/>
          <w:lang w:val="es-MX"/>
        </w:rPr>
        <w:t xml:space="preserve">           </w:t>
      </w:r>
      <w:r w:rsidR="003E15D6" w:rsidRPr="0075264A">
        <w:rPr>
          <w:sz w:val="18"/>
          <w:lang w:val="es-MX"/>
        </w:rPr>
        <w:t>Fuente: Banco de Guatemala.</w:t>
      </w:r>
    </w:p>
    <w:p w:rsidR="00255B7C" w:rsidRDefault="00255B7C" w:rsidP="003E15D6">
      <w:pPr>
        <w:jc w:val="both"/>
        <w:rPr>
          <w:szCs w:val="23"/>
        </w:rPr>
      </w:pPr>
    </w:p>
    <w:p w:rsidR="003E15D6" w:rsidRPr="003D4A69" w:rsidRDefault="003E15D6" w:rsidP="003E15D6">
      <w:pPr>
        <w:rPr>
          <w:sz w:val="6"/>
          <w:lang w:val="es-MX"/>
        </w:rPr>
      </w:pPr>
    </w:p>
    <w:p w:rsidR="003E15D6" w:rsidRPr="00124AD6" w:rsidRDefault="003E15D6" w:rsidP="00C774F3">
      <w:pPr>
        <w:pStyle w:val="Ttulo2"/>
        <w:numPr>
          <w:ilvl w:val="0"/>
          <w:numId w:val="4"/>
        </w:numPr>
        <w:spacing w:line="276" w:lineRule="auto"/>
        <w:ind w:left="0" w:firstLine="0"/>
        <w:rPr>
          <w:rFonts w:ascii="Times New Roman" w:hAnsi="Times New Roman"/>
          <w:color w:val="auto"/>
          <w:sz w:val="24"/>
          <w:szCs w:val="24"/>
          <w:shd w:val="clear" w:color="auto" w:fill="FFFFFF"/>
        </w:rPr>
      </w:pPr>
      <w:bookmarkStart w:id="5" w:name="_Toc32829786"/>
      <w:r w:rsidRPr="00124AD6">
        <w:rPr>
          <w:rFonts w:ascii="Times New Roman" w:hAnsi="Times New Roman"/>
          <w:color w:val="auto"/>
          <w:sz w:val="24"/>
          <w:szCs w:val="24"/>
          <w:shd w:val="clear" w:color="auto" w:fill="FFFFFF"/>
        </w:rPr>
        <w:t xml:space="preserve">Decisiones de </w:t>
      </w:r>
      <w:r>
        <w:rPr>
          <w:rFonts w:ascii="Times New Roman" w:hAnsi="Times New Roman"/>
          <w:color w:val="auto"/>
          <w:sz w:val="24"/>
          <w:szCs w:val="24"/>
          <w:shd w:val="clear" w:color="auto" w:fill="FFFFFF"/>
        </w:rPr>
        <w:t>P</w:t>
      </w:r>
      <w:r w:rsidRPr="00124AD6">
        <w:rPr>
          <w:rFonts w:ascii="Times New Roman" w:hAnsi="Times New Roman"/>
          <w:color w:val="auto"/>
          <w:sz w:val="24"/>
          <w:szCs w:val="24"/>
          <w:shd w:val="clear" w:color="auto" w:fill="FFFFFF"/>
        </w:rPr>
        <w:t xml:space="preserve">olítica </w:t>
      </w:r>
      <w:r>
        <w:rPr>
          <w:rFonts w:ascii="Times New Roman" w:hAnsi="Times New Roman"/>
          <w:color w:val="auto"/>
          <w:sz w:val="24"/>
          <w:szCs w:val="24"/>
          <w:shd w:val="clear" w:color="auto" w:fill="FFFFFF"/>
        </w:rPr>
        <w:t>M</w:t>
      </w:r>
      <w:r w:rsidRPr="00124AD6">
        <w:rPr>
          <w:rFonts w:ascii="Times New Roman" w:hAnsi="Times New Roman"/>
          <w:color w:val="auto"/>
          <w:sz w:val="24"/>
          <w:szCs w:val="24"/>
          <w:shd w:val="clear" w:color="auto" w:fill="FFFFFF"/>
        </w:rPr>
        <w:t>onetaria</w:t>
      </w:r>
      <w:bookmarkEnd w:id="5"/>
    </w:p>
    <w:p w:rsidR="003E15D6" w:rsidRPr="003D4A69" w:rsidRDefault="003E15D6" w:rsidP="003E15D6">
      <w:pPr>
        <w:jc w:val="both"/>
        <w:rPr>
          <w:sz w:val="18"/>
          <w:lang w:val="es-MX"/>
        </w:rPr>
      </w:pPr>
    </w:p>
    <w:p w:rsidR="003E15D6" w:rsidRPr="00072F75" w:rsidRDefault="003E15D6" w:rsidP="003E15D6">
      <w:pPr>
        <w:jc w:val="both"/>
        <w:rPr>
          <w:szCs w:val="23"/>
        </w:rPr>
      </w:pPr>
      <w:r w:rsidRPr="00124AD6">
        <w:rPr>
          <w:lang w:val="es-MX"/>
        </w:rPr>
        <w:t>La Junta Monetaria</w:t>
      </w:r>
      <w:r>
        <w:rPr>
          <w:lang w:val="es-MX"/>
        </w:rPr>
        <w:t xml:space="preserve"> (JM)</w:t>
      </w:r>
      <w:r w:rsidRPr="00124AD6">
        <w:rPr>
          <w:lang w:val="es-MX"/>
        </w:rPr>
        <w:t xml:space="preserve"> realizó diversas reuniones durante 201</w:t>
      </w:r>
      <w:r>
        <w:rPr>
          <w:lang w:val="es-MX"/>
        </w:rPr>
        <w:t>9</w:t>
      </w:r>
      <w:r w:rsidRPr="00124AD6">
        <w:rPr>
          <w:lang w:val="es-MX"/>
        </w:rPr>
        <w:t xml:space="preserve"> para decidir sobre el nivel de la tasa de interés líder de </w:t>
      </w:r>
      <w:r w:rsidR="00072F75">
        <w:rPr>
          <w:lang w:val="es-MX"/>
        </w:rPr>
        <w:t xml:space="preserve">la </w:t>
      </w:r>
      <w:r w:rsidRPr="00124AD6">
        <w:rPr>
          <w:lang w:val="es-MX"/>
        </w:rPr>
        <w:t xml:space="preserve">política monetaria. </w:t>
      </w:r>
      <w:r>
        <w:rPr>
          <w:lang w:val="es-MX"/>
        </w:rPr>
        <w:t xml:space="preserve">De acuerdo con el Banco de Guatemala, hasta diciembre de 2019 la misma se mantuvo en 2.75. </w:t>
      </w:r>
      <w:r w:rsidRPr="000E2CB3">
        <w:rPr>
          <w:lang w:val="es-MX"/>
        </w:rPr>
        <w:t>Para es</w:t>
      </w:r>
      <w:r>
        <w:rPr>
          <w:lang w:val="es-MX"/>
        </w:rPr>
        <w:t>t</w:t>
      </w:r>
      <w:r w:rsidRPr="000E2CB3">
        <w:rPr>
          <w:lang w:val="es-MX"/>
        </w:rPr>
        <w:t>a decisión tom</w:t>
      </w:r>
      <w:r>
        <w:rPr>
          <w:lang w:val="es-MX"/>
        </w:rPr>
        <w:t>ó</w:t>
      </w:r>
      <w:r w:rsidRPr="000E2CB3">
        <w:rPr>
          <w:lang w:val="es-MX"/>
        </w:rPr>
        <w:t xml:space="preserve"> como base el análisis integral de la coyuntura tanto externa como interna. </w:t>
      </w:r>
      <w:r w:rsidRPr="00072F75">
        <w:rPr>
          <w:szCs w:val="23"/>
        </w:rPr>
        <w:t>En el ámbito externo, consideró que las proyecciones de crecimiento económico a nivel mundial continúan siendo favorables tanto para 2019 como para 2020, aunque privan los riesgos a la baja. Asimismo, tomó en cuenta que el precio internacional del petróleo muestra un aumento respecto del observado a finales de 2018 y que las proyecciones del precio medio muestran una tendencia ligeramente creciente para el presente año y para el próxim</w:t>
      </w:r>
      <w:r w:rsidR="00072F75">
        <w:rPr>
          <w:szCs w:val="23"/>
        </w:rPr>
        <w:t>o.</w:t>
      </w:r>
    </w:p>
    <w:p w:rsidR="003E15D6" w:rsidRPr="00072F75" w:rsidRDefault="003E15D6" w:rsidP="003E15D6">
      <w:pPr>
        <w:jc w:val="both"/>
        <w:rPr>
          <w:szCs w:val="23"/>
        </w:rPr>
      </w:pPr>
    </w:p>
    <w:p w:rsidR="003E15D6" w:rsidRDefault="003E15D6" w:rsidP="003E15D6">
      <w:pPr>
        <w:jc w:val="both"/>
        <w:rPr>
          <w:szCs w:val="23"/>
        </w:rPr>
      </w:pPr>
      <w:r w:rsidRPr="00072F75">
        <w:rPr>
          <w:szCs w:val="23"/>
        </w:rPr>
        <w:t>En el ámbito interno, destacó que algunos indicadores de corto plazo de la actividad económica (el Índice Mensual de la Actividad Económica, las remesas familiares y la ejecución del gasto público, entre otros) muestran un comportamiento congruente con el crecimiento económico anual previsto para el presente año. Además, reiteró que los pronósticos de inflación para 2019 y 2020 se ubican dentro del margen de tolerancia de la meta establecida por la Junta Monetaria (4.0% +/- 1</w:t>
      </w:r>
      <w:r w:rsidR="00072F75">
        <w:rPr>
          <w:szCs w:val="23"/>
        </w:rPr>
        <w:t>.0</w:t>
      </w:r>
      <w:r w:rsidRPr="00072F75">
        <w:rPr>
          <w:szCs w:val="23"/>
        </w:rPr>
        <w:t xml:space="preserve"> punto porcentual) y las expectativas para ambos años permanecen ancladas.</w:t>
      </w:r>
    </w:p>
    <w:p w:rsidR="00255B7C" w:rsidRPr="00072F75" w:rsidRDefault="00255B7C" w:rsidP="003E15D6">
      <w:pPr>
        <w:jc w:val="both"/>
        <w:rPr>
          <w:sz w:val="28"/>
          <w:lang w:val="es-MX"/>
        </w:rPr>
      </w:pPr>
    </w:p>
    <w:p w:rsidR="003E15D6" w:rsidRPr="00124AD6" w:rsidRDefault="003E15D6" w:rsidP="003E15D6">
      <w:pPr>
        <w:jc w:val="center"/>
        <w:rPr>
          <w:b/>
          <w:lang w:val="es-MX"/>
        </w:rPr>
      </w:pPr>
      <w:r w:rsidRPr="00124AD6">
        <w:rPr>
          <w:b/>
          <w:lang w:val="es-MX"/>
        </w:rPr>
        <w:t xml:space="preserve">Gráfica </w:t>
      </w:r>
      <w:r>
        <w:rPr>
          <w:b/>
          <w:lang w:val="es-MX"/>
        </w:rPr>
        <w:t>6</w:t>
      </w:r>
    </w:p>
    <w:p w:rsidR="003E15D6" w:rsidRPr="00124AD6" w:rsidRDefault="003E15D6" w:rsidP="003E15D6">
      <w:pPr>
        <w:jc w:val="center"/>
        <w:rPr>
          <w:b/>
          <w:lang w:val="es-MX"/>
        </w:rPr>
      </w:pPr>
      <w:r w:rsidRPr="00124AD6">
        <w:rPr>
          <w:b/>
          <w:lang w:val="es-MX"/>
        </w:rPr>
        <w:t>Tasa Líder</w:t>
      </w:r>
      <w:r>
        <w:rPr>
          <w:b/>
          <w:lang w:val="es-MX"/>
        </w:rPr>
        <w:t xml:space="preserve"> </w:t>
      </w:r>
      <w:r w:rsidRPr="00124AD6">
        <w:rPr>
          <w:b/>
          <w:lang w:val="es-MX"/>
        </w:rPr>
        <w:t xml:space="preserve">de </w:t>
      </w:r>
      <w:r>
        <w:rPr>
          <w:b/>
          <w:lang w:val="es-MX"/>
        </w:rPr>
        <w:t xml:space="preserve">la </w:t>
      </w:r>
      <w:r w:rsidRPr="00124AD6">
        <w:rPr>
          <w:b/>
          <w:lang w:val="es-MX"/>
        </w:rPr>
        <w:t>Política Monetaria</w:t>
      </w:r>
    </w:p>
    <w:p w:rsidR="003E15D6" w:rsidRPr="00124AD6" w:rsidRDefault="003E15D6" w:rsidP="003E15D6">
      <w:pPr>
        <w:jc w:val="center"/>
        <w:rPr>
          <w:b/>
          <w:lang w:val="es-MX"/>
        </w:rPr>
      </w:pPr>
      <w:r w:rsidRPr="00124AD6">
        <w:rPr>
          <w:b/>
          <w:lang w:val="es-MX"/>
        </w:rPr>
        <w:t xml:space="preserve">(Período enero </w:t>
      </w:r>
      <w:r w:rsidR="00072F75">
        <w:rPr>
          <w:b/>
          <w:lang w:val="es-MX"/>
        </w:rPr>
        <w:t xml:space="preserve">de </w:t>
      </w:r>
      <w:r w:rsidRPr="00124AD6">
        <w:rPr>
          <w:b/>
          <w:lang w:val="es-MX"/>
        </w:rPr>
        <w:t>20</w:t>
      </w:r>
      <w:r>
        <w:rPr>
          <w:b/>
          <w:lang w:val="es-MX"/>
        </w:rPr>
        <w:t>08</w:t>
      </w:r>
      <w:r w:rsidRPr="00124AD6">
        <w:rPr>
          <w:b/>
          <w:lang w:val="es-MX"/>
        </w:rPr>
        <w:t xml:space="preserve"> - diciembre </w:t>
      </w:r>
      <w:r w:rsidR="00072F75">
        <w:rPr>
          <w:b/>
          <w:lang w:val="es-MX"/>
        </w:rPr>
        <w:t xml:space="preserve">de </w:t>
      </w:r>
      <w:r w:rsidRPr="00124AD6">
        <w:rPr>
          <w:b/>
          <w:lang w:val="es-MX"/>
        </w:rPr>
        <w:t>201</w:t>
      </w:r>
      <w:r>
        <w:rPr>
          <w:b/>
          <w:lang w:val="es-MX"/>
        </w:rPr>
        <w:t>9</w:t>
      </w:r>
      <w:r w:rsidRPr="00124AD6">
        <w:rPr>
          <w:b/>
          <w:lang w:val="es-MX"/>
        </w:rPr>
        <w:t>)</w:t>
      </w:r>
    </w:p>
    <w:p w:rsidR="003E15D6" w:rsidRDefault="003E15D6" w:rsidP="003E15D6">
      <w:pPr>
        <w:jc w:val="both"/>
        <w:rPr>
          <w:noProof/>
          <w:lang w:val="es-GT" w:eastAsia="es-GT"/>
        </w:rPr>
      </w:pPr>
    </w:p>
    <w:p w:rsidR="003E15D6" w:rsidRDefault="003E15D6" w:rsidP="003E15D6">
      <w:pPr>
        <w:jc w:val="both"/>
        <w:rPr>
          <w:noProof/>
          <w:lang w:val="es-GT" w:eastAsia="es-GT"/>
        </w:rPr>
      </w:pPr>
      <w:r>
        <w:rPr>
          <w:noProof/>
          <w:lang w:val="es-GT" w:eastAsia="es-GT"/>
        </w:rPr>
        <w:drawing>
          <wp:inline distT="0" distB="0" distL="0" distR="0" wp14:anchorId="3F0B277A" wp14:editId="29F6436C">
            <wp:extent cx="5727801" cy="4111143"/>
            <wp:effectExtent l="0" t="0" r="6350" b="3810"/>
            <wp:docPr id="18" name="Gráfico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072F75" w:rsidRPr="00072F75" w:rsidRDefault="00072F75" w:rsidP="003E15D6">
      <w:pPr>
        <w:rPr>
          <w:sz w:val="4"/>
          <w:lang w:val="es-MX"/>
        </w:rPr>
      </w:pPr>
    </w:p>
    <w:p w:rsidR="003E15D6" w:rsidRPr="00072F75" w:rsidRDefault="00072F75" w:rsidP="003E15D6">
      <w:pPr>
        <w:rPr>
          <w:sz w:val="18"/>
          <w:lang w:val="es-MX"/>
        </w:rPr>
      </w:pPr>
      <w:r>
        <w:rPr>
          <w:sz w:val="18"/>
          <w:lang w:val="es-MX"/>
        </w:rPr>
        <w:t xml:space="preserve">  </w:t>
      </w:r>
      <w:r w:rsidR="00F46906">
        <w:rPr>
          <w:sz w:val="18"/>
          <w:lang w:val="es-MX"/>
        </w:rPr>
        <w:t xml:space="preserve">      </w:t>
      </w:r>
      <w:r w:rsidR="00D84086">
        <w:rPr>
          <w:sz w:val="18"/>
          <w:lang w:val="es-MX"/>
        </w:rPr>
        <w:t xml:space="preserve"> </w:t>
      </w:r>
      <w:r w:rsidR="00F46906">
        <w:rPr>
          <w:sz w:val="18"/>
          <w:lang w:val="es-MX"/>
        </w:rPr>
        <w:t xml:space="preserve">    </w:t>
      </w:r>
      <w:r>
        <w:rPr>
          <w:sz w:val="18"/>
          <w:lang w:val="es-MX"/>
        </w:rPr>
        <w:t xml:space="preserve"> </w:t>
      </w:r>
      <w:r w:rsidR="003E15D6" w:rsidRPr="00072F75">
        <w:rPr>
          <w:sz w:val="18"/>
          <w:lang w:val="es-MX"/>
        </w:rPr>
        <w:t>Fuente: Banco de Guatemala.</w:t>
      </w:r>
    </w:p>
    <w:p w:rsidR="003E15D6" w:rsidRPr="00FF52E3" w:rsidRDefault="003E15D6" w:rsidP="003E15D6">
      <w:pPr>
        <w:jc w:val="both"/>
        <w:rPr>
          <w:sz w:val="18"/>
          <w:lang w:val="es-MX"/>
        </w:rPr>
      </w:pPr>
    </w:p>
    <w:p w:rsidR="003E15D6" w:rsidRDefault="003E15D6" w:rsidP="003E15D6">
      <w:pPr>
        <w:jc w:val="both"/>
        <w:rPr>
          <w:lang w:val="es-MX"/>
        </w:rPr>
      </w:pPr>
    </w:p>
    <w:p w:rsidR="003E15D6" w:rsidRDefault="003E15D6" w:rsidP="003E15D6">
      <w:r>
        <w:br w:type="page"/>
      </w:r>
    </w:p>
    <w:p w:rsidR="00255B7C" w:rsidRDefault="00255B7C" w:rsidP="003E15D6">
      <w:pPr>
        <w:jc w:val="both"/>
      </w:pPr>
    </w:p>
    <w:p w:rsidR="003E15D6" w:rsidRDefault="003E15D6" w:rsidP="003E15D6">
      <w:pPr>
        <w:jc w:val="both"/>
      </w:pPr>
      <w:r>
        <w:t>De acuerdo con el Banco de Guatemala, e</w:t>
      </w:r>
      <w:r w:rsidRPr="004F37CB">
        <w:t xml:space="preserve">l tipo de cambio nominal promedio del quetzal frente al dólar, registró a </w:t>
      </w:r>
      <w:r>
        <w:t>diciembre</w:t>
      </w:r>
      <w:r w:rsidRPr="004F37CB">
        <w:t xml:space="preserve"> de 201</w:t>
      </w:r>
      <w:r>
        <w:t>9</w:t>
      </w:r>
      <w:r w:rsidRPr="004F37CB">
        <w:t xml:space="preserve"> </w:t>
      </w:r>
      <w:r w:rsidRPr="00340E15">
        <w:t xml:space="preserve">un comportamiento </w:t>
      </w:r>
      <w:r>
        <w:t xml:space="preserve">relacionado con el </w:t>
      </w:r>
      <w:r w:rsidRPr="00340E15">
        <w:t xml:space="preserve">flujo </w:t>
      </w:r>
      <w:r>
        <w:t xml:space="preserve">extraordinario </w:t>
      </w:r>
      <w:r w:rsidRPr="00340E15">
        <w:t xml:space="preserve">de remesas familiares </w:t>
      </w:r>
      <w:r>
        <w:t xml:space="preserve">y </w:t>
      </w:r>
      <w:r w:rsidRPr="00340E15">
        <w:t xml:space="preserve">el ritmo de crecimiento del valor de las importaciones, a lo que se adicionó una reducción en </w:t>
      </w:r>
      <w:r>
        <w:t xml:space="preserve">el crecimiento </w:t>
      </w:r>
      <w:r w:rsidRPr="00340E15">
        <w:t xml:space="preserve">de las exportaciones, </w:t>
      </w:r>
      <w:r>
        <w:t>lo que</w:t>
      </w:r>
      <w:r w:rsidRPr="00340E15">
        <w:t xml:space="preserve"> ha contribuido a que el tipo de cambio muestre una tendencia a la depreciación</w:t>
      </w:r>
      <w:r>
        <w:t>.</w:t>
      </w:r>
    </w:p>
    <w:p w:rsidR="003E15D6" w:rsidRDefault="003E15D6" w:rsidP="003E15D6">
      <w:pPr>
        <w:jc w:val="both"/>
      </w:pPr>
    </w:p>
    <w:p w:rsidR="00255B7C" w:rsidRDefault="00255B7C" w:rsidP="003E15D6">
      <w:pPr>
        <w:jc w:val="both"/>
      </w:pPr>
    </w:p>
    <w:p w:rsidR="003E15D6" w:rsidRPr="00124AD6" w:rsidRDefault="003E15D6" w:rsidP="003E15D6">
      <w:pPr>
        <w:jc w:val="center"/>
        <w:rPr>
          <w:b/>
          <w:lang w:val="es-MX"/>
        </w:rPr>
      </w:pPr>
      <w:r w:rsidRPr="00124AD6">
        <w:rPr>
          <w:b/>
          <w:lang w:val="es-MX"/>
        </w:rPr>
        <w:t xml:space="preserve">Gráfica </w:t>
      </w:r>
      <w:r>
        <w:rPr>
          <w:b/>
          <w:lang w:val="es-MX"/>
        </w:rPr>
        <w:t>7</w:t>
      </w:r>
    </w:p>
    <w:p w:rsidR="003E15D6" w:rsidRPr="00124AD6" w:rsidRDefault="003E15D6" w:rsidP="003E15D6">
      <w:pPr>
        <w:jc w:val="center"/>
        <w:rPr>
          <w:b/>
          <w:lang w:val="es-MX"/>
        </w:rPr>
      </w:pPr>
      <w:r w:rsidRPr="00124AD6">
        <w:rPr>
          <w:b/>
          <w:lang w:val="es-MX"/>
        </w:rPr>
        <w:t>Tipo de Cambio</w:t>
      </w:r>
    </w:p>
    <w:p w:rsidR="003E15D6" w:rsidRDefault="003E15D6" w:rsidP="003E15D6">
      <w:pPr>
        <w:jc w:val="center"/>
        <w:rPr>
          <w:b/>
          <w:lang w:val="es-MX"/>
        </w:rPr>
      </w:pPr>
      <w:r w:rsidRPr="00124AD6">
        <w:rPr>
          <w:b/>
          <w:lang w:val="es-MX"/>
        </w:rPr>
        <w:t>(Quetzales por US</w:t>
      </w:r>
      <w:r>
        <w:rPr>
          <w:b/>
          <w:lang w:val="es-MX"/>
        </w:rPr>
        <w:t>$1</w:t>
      </w:r>
      <w:r w:rsidR="00072F75">
        <w:rPr>
          <w:b/>
          <w:lang w:val="es-MX"/>
        </w:rPr>
        <w:t>.0</w:t>
      </w:r>
      <w:r w:rsidRPr="00124AD6">
        <w:rPr>
          <w:b/>
          <w:lang w:val="es-MX"/>
        </w:rPr>
        <w:t>)</w:t>
      </w:r>
    </w:p>
    <w:p w:rsidR="003403AF" w:rsidRDefault="003E15D6" w:rsidP="00072F75">
      <w:pPr>
        <w:rPr>
          <w:sz w:val="16"/>
          <w:lang w:val="es-MX"/>
        </w:rPr>
      </w:pPr>
      <w:r>
        <w:rPr>
          <w:noProof/>
          <w:lang w:val="es-GT" w:eastAsia="es-GT"/>
        </w:rPr>
        <w:drawing>
          <wp:inline distT="0" distB="0" distL="0" distR="0" wp14:anchorId="67854060" wp14:editId="7E03A147">
            <wp:extent cx="5961888" cy="3767328"/>
            <wp:effectExtent l="0" t="0" r="1270" b="5080"/>
            <wp:docPr id="53" name="Gráfico 5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403AF" w:rsidRPr="003403AF" w:rsidRDefault="003403AF" w:rsidP="00072F75">
      <w:pPr>
        <w:rPr>
          <w:sz w:val="12"/>
          <w:lang w:val="es-MX"/>
        </w:rPr>
      </w:pPr>
    </w:p>
    <w:p w:rsidR="003E15D6" w:rsidRDefault="003403AF" w:rsidP="00072F75">
      <w:pPr>
        <w:rPr>
          <w:sz w:val="16"/>
          <w:lang w:val="es-MX"/>
        </w:rPr>
      </w:pPr>
      <w:r>
        <w:rPr>
          <w:sz w:val="16"/>
          <w:lang w:val="es-MX"/>
        </w:rPr>
        <w:t xml:space="preserve">        </w:t>
      </w:r>
      <w:r w:rsidR="00D84086">
        <w:rPr>
          <w:sz w:val="16"/>
          <w:lang w:val="es-MX"/>
        </w:rPr>
        <w:t xml:space="preserve"> </w:t>
      </w:r>
      <w:r>
        <w:rPr>
          <w:sz w:val="16"/>
          <w:lang w:val="es-MX"/>
        </w:rPr>
        <w:t xml:space="preserve">      </w:t>
      </w:r>
      <w:r w:rsidR="003E15D6" w:rsidRPr="00442774">
        <w:rPr>
          <w:sz w:val="16"/>
          <w:lang w:val="es-MX"/>
        </w:rPr>
        <w:t>Fuente: Banco de Guatemala</w:t>
      </w:r>
      <w:r w:rsidR="003E15D6">
        <w:rPr>
          <w:sz w:val="16"/>
          <w:lang w:val="es-MX"/>
        </w:rPr>
        <w:t>.</w:t>
      </w:r>
    </w:p>
    <w:p w:rsidR="003E15D6" w:rsidRPr="003403AF" w:rsidRDefault="003E15D6" w:rsidP="003E15D6">
      <w:pPr>
        <w:rPr>
          <w:sz w:val="44"/>
          <w:lang w:val="es-MX"/>
        </w:rPr>
      </w:pPr>
    </w:p>
    <w:p w:rsidR="003E15D6" w:rsidRPr="00340E15" w:rsidRDefault="003E15D6" w:rsidP="003E15D6">
      <w:pPr>
        <w:jc w:val="both"/>
      </w:pPr>
      <w:r>
        <w:t>Durante el mes de diciembre</w:t>
      </w:r>
      <w:r w:rsidR="00652510">
        <w:t xml:space="preserve"> de 2019</w:t>
      </w:r>
      <w:r>
        <w:t>, el tipo de cambio de referencia nominal promedio ponderado mantuvo un valor de Q</w:t>
      </w:r>
      <w:r w:rsidR="00652510">
        <w:t>.</w:t>
      </w:r>
      <w:r>
        <w:t xml:space="preserve">7.67 </w:t>
      </w:r>
      <w:r w:rsidR="00652510">
        <w:t xml:space="preserve"> </w:t>
      </w:r>
      <w:r>
        <w:t xml:space="preserve">por </w:t>
      </w:r>
      <w:r w:rsidR="00652510">
        <w:t xml:space="preserve"> US$1.0</w:t>
      </w:r>
      <w:r>
        <w:t>, manteniendo un promedio durante el año 2019 de Q</w:t>
      </w:r>
      <w:r w:rsidR="00652510">
        <w:t>.</w:t>
      </w:r>
      <w:r>
        <w:t xml:space="preserve">7.68 </w:t>
      </w:r>
      <w:r w:rsidR="00652510">
        <w:t xml:space="preserve"> </w:t>
      </w:r>
      <w:r>
        <w:t xml:space="preserve">por </w:t>
      </w:r>
      <w:r w:rsidR="00652510">
        <w:t xml:space="preserve"> US$1.0</w:t>
      </w:r>
      <w:r>
        <w:t xml:space="preserve">, con una leve tendencia a la baja con respecto a lo observado a principios de </w:t>
      </w:r>
      <w:r w:rsidR="00652510">
        <w:t xml:space="preserve">ese </w:t>
      </w:r>
      <w:r>
        <w:t>año, cuando reflejó un tipo de cambio de Q</w:t>
      </w:r>
      <w:r w:rsidR="00652510">
        <w:t>.</w:t>
      </w:r>
      <w:r>
        <w:t xml:space="preserve">7.71 </w:t>
      </w:r>
      <w:r w:rsidR="00652510">
        <w:t xml:space="preserve"> </w:t>
      </w:r>
      <w:r>
        <w:t>por</w:t>
      </w:r>
      <w:r w:rsidR="00652510">
        <w:t xml:space="preserve"> </w:t>
      </w:r>
      <w:r>
        <w:t xml:space="preserve"> US$</w:t>
      </w:r>
      <w:r w:rsidR="00652510">
        <w:t>1.0</w:t>
      </w:r>
      <w:r>
        <w:t>.</w:t>
      </w:r>
    </w:p>
    <w:p w:rsidR="003E15D6" w:rsidRPr="00340E15" w:rsidRDefault="003E15D6" w:rsidP="003E15D6">
      <w:pPr>
        <w:jc w:val="both"/>
      </w:pPr>
    </w:p>
    <w:p w:rsidR="003E15D6" w:rsidRDefault="003E15D6" w:rsidP="003E15D6">
      <w:r>
        <w:br w:type="page"/>
      </w:r>
    </w:p>
    <w:p w:rsidR="000A4D61" w:rsidRDefault="000A4D61" w:rsidP="003E15D6"/>
    <w:p w:rsidR="000A4D61" w:rsidRDefault="000A4D61" w:rsidP="003E15D6"/>
    <w:p w:rsidR="003E15D6" w:rsidRPr="00401118" w:rsidRDefault="003E15D6" w:rsidP="003E15D6">
      <w:pPr>
        <w:pStyle w:val="Ttulo1"/>
        <w:rPr>
          <w:lang w:val="es-MX"/>
        </w:rPr>
      </w:pPr>
      <w:bookmarkStart w:id="6" w:name="_Toc32829787"/>
      <w:r w:rsidRPr="00401118">
        <w:rPr>
          <w:lang w:val="es-MX"/>
        </w:rPr>
        <w:t>Política Fiscal en Guatemala</w:t>
      </w:r>
      <w:bookmarkEnd w:id="6"/>
    </w:p>
    <w:p w:rsidR="003E15D6" w:rsidRPr="000A4D61" w:rsidRDefault="003E15D6" w:rsidP="003E15D6">
      <w:pPr>
        <w:jc w:val="both"/>
        <w:rPr>
          <w:sz w:val="28"/>
        </w:rPr>
      </w:pPr>
    </w:p>
    <w:p w:rsidR="003E15D6" w:rsidRDefault="003E15D6" w:rsidP="003E15D6">
      <w:pPr>
        <w:jc w:val="both"/>
      </w:pPr>
      <w:r>
        <w:t xml:space="preserve">La política fiscal se constituye en el mecanismo mediante el cual se debe impulsar la actividad económica y la estabilidad macroeconómica y social del país, ya que genera el espacio de recaudación tributaria necesario para hacer frente a las necesidades sociales que inciden en la pobreza y la desigualdad. El Ministerio de Finanzas Públicas en concordancia con el compromiso de mantener la estabilidad económica a través de una política fiscal responsable y sostenible, ha definido una ruta para la recuperación y transformación de las finanzas del Estado de Guatemala, la cual tiene como finalidad fortalecer la funcionalidad del Estado y generar la confianza ciudadana </w:t>
      </w:r>
      <w:r w:rsidR="009F297A">
        <w:t xml:space="preserve">con </w:t>
      </w:r>
      <w:r>
        <w:t>respecto al uso de los recursos públicos (MINFIN. 2018. “Memoria de Labores 2017”).</w:t>
      </w:r>
    </w:p>
    <w:p w:rsidR="003E15D6" w:rsidRPr="000A4D61" w:rsidRDefault="003E15D6" w:rsidP="003E15D6">
      <w:pPr>
        <w:jc w:val="both"/>
        <w:rPr>
          <w:sz w:val="28"/>
        </w:rPr>
      </w:pPr>
    </w:p>
    <w:p w:rsidR="003E15D6" w:rsidRDefault="003E15D6" w:rsidP="003E15D6">
      <w:pPr>
        <w:jc w:val="both"/>
      </w:pPr>
      <w:r>
        <w:t xml:space="preserve">El Ejercicio Fiscal 2019, se caracterizó por continuar con el manejo macrofiscal responsable, </w:t>
      </w:r>
      <w:r w:rsidR="009F297A">
        <w:t>situación</w:t>
      </w:r>
      <w:r>
        <w:t xml:space="preserve"> que </w:t>
      </w:r>
      <w:r w:rsidRPr="00124AD6">
        <w:t>permit</w:t>
      </w:r>
      <w:r>
        <w:t>ió</w:t>
      </w:r>
      <w:r w:rsidRPr="00124AD6">
        <w:t xml:space="preserve"> seguir en una senda de consolidación fiscal y preservar la estabilidad macroeconómica y la sostenibili</w:t>
      </w:r>
      <w:r>
        <w:t xml:space="preserve">dad fiscal en el mediano plazo. </w:t>
      </w:r>
      <w:r>
        <w:rPr>
          <w:lang w:val="es-MX"/>
        </w:rPr>
        <w:t xml:space="preserve">Derivado de lo anterior, </w:t>
      </w:r>
      <w:r w:rsidRPr="00124AD6">
        <w:rPr>
          <w:lang w:val="es-MX"/>
        </w:rPr>
        <w:t>e</w:t>
      </w:r>
      <w:r w:rsidRPr="00124AD6">
        <w:t xml:space="preserve">l resultado presupuestario </w:t>
      </w:r>
      <w:r>
        <w:t xml:space="preserve">al 31 de diciembre de 2019, mostró un déficit fiscal de </w:t>
      </w:r>
      <w:r w:rsidRPr="00124AD6">
        <w:t>Q.</w:t>
      </w:r>
      <w:r>
        <w:t>13,294.4</w:t>
      </w:r>
      <w:r w:rsidRPr="00401118">
        <w:t xml:space="preserve"> </w:t>
      </w:r>
      <w:r w:rsidRPr="00124AD6">
        <w:t xml:space="preserve">millones, equivalentes al </w:t>
      </w:r>
      <w:r>
        <w:t>2.3</w:t>
      </w:r>
      <w:r w:rsidRPr="00124AD6">
        <w:t>% del PIB</w:t>
      </w:r>
      <w:r>
        <w:t xml:space="preserve">, </w:t>
      </w:r>
      <w:r w:rsidRPr="00793351">
        <w:t xml:space="preserve">por </w:t>
      </w:r>
      <w:r>
        <w:t>encima de lo observado en el Ejercicio Fiscal 2018 en el que</w:t>
      </w:r>
      <w:r w:rsidRPr="00793351">
        <w:t xml:space="preserve"> se obtuvo un déficit de </w:t>
      </w:r>
      <w:r>
        <w:t>1.9%</w:t>
      </w:r>
      <w:r w:rsidRPr="00793351">
        <w:t xml:space="preserve"> del PIB. No obstante, e</w:t>
      </w:r>
      <w:r>
        <w:t>l</w:t>
      </w:r>
      <w:r w:rsidRPr="00793351">
        <w:t xml:space="preserve"> resultado </w:t>
      </w:r>
      <w:r>
        <w:t xml:space="preserve">presupuestario </w:t>
      </w:r>
      <w:r w:rsidRPr="00793351">
        <w:t xml:space="preserve">estuvo por debajo de la proyección prevista </w:t>
      </w:r>
      <w:r>
        <w:t>de</w:t>
      </w:r>
      <w:r w:rsidRPr="00793351">
        <w:t xml:space="preserve"> 2.</w:t>
      </w:r>
      <w:r>
        <w:t>4</w:t>
      </w:r>
      <w:r w:rsidRPr="00793351">
        <w:t>% del PIB.</w:t>
      </w:r>
      <w:r>
        <w:t xml:space="preserve"> (B</w:t>
      </w:r>
      <w:r w:rsidR="009F297A">
        <w:t>ANGUAT</w:t>
      </w:r>
      <w:r>
        <w:t>, 2019. Ibíd.)</w:t>
      </w:r>
      <w:r w:rsidR="009F297A">
        <w:t>.</w:t>
      </w:r>
    </w:p>
    <w:p w:rsidR="003E15D6" w:rsidRPr="000A4D61" w:rsidRDefault="003E15D6" w:rsidP="003E15D6">
      <w:pPr>
        <w:jc w:val="both"/>
        <w:rPr>
          <w:sz w:val="28"/>
        </w:rPr>
      </w:pPr>
    </w:p>
    <w:p w:rsidR="003E15D6" w:rsidRPr="003E15D6" w:rsidRDefault="003E15D6" w:rsidP="003E15D6">
      <w:pPr>
        <w:jc w:val="both"/>
        <w:rPr>
          <w:b/>
          <w:sz w:val="28"/>
        </w:rPr>
      </w:pPr>
      <w:r w:rsidRPr="003E15D6">
        <w:rPr>
          <w:szCs w:val="23"/>
        </w:rPr>
        <w:t>El resultado es congruente con los objetivos de política establecido</w:t>
      </w:r>
      <w:r w:rsidR="009F297A">
        <w:rPr>
          <w:szCs w:val="23"/>
        </w:rPr>
        <w:t>s</w:t>
      </w:r>
      <w:r w:rsidRPr="003E15D6">
        <w:rPr>
          <w:szCs w:val="23"/>
        </w:rPr>
        <w:t xml:space="preserve"> en los “Lineamientos para la Eficiencia, Transparencia, Control y Priorización del Gasto Público para el Ejercicio Fiscal 2019”. Con la referida normativa, entre otros, se priorizaría</w:t>
      </w:r>
      <w:r w:rsidR="009F297A">
        <w:rPr>
          <w:szCs w:val="23"/>
        </w:rPr>
        <w:t>n</w:t>
      </w:r>
      <w:r w:rsidRPr="003E15D6">
        <w:rPr>
          <w:szCs w:val="23"/>
        </w:rPr>
        <w:t xml:space="preserve"> las asignaciones presupuestarias en el pago de recurso humano, servicios básicos e insumos críticos. </w:t>
      </w:r>
      <w:r w:rsidRPr="003E15D6">
        <w:rPr>
          <w:b/>
          <w:sz w:val="28"/>
        </w:rPr>
        <w:br w:type="page"/>
      </w:r>
    </w:p>
    <w:p w:rsidR="000D3CE8" w:rsidRDefault="000D3CE8" w:rsidP="003E15D6">
      <w:pPr>
        <w:jc w:val="center"/>
        <w:rPr>
          <w:b/>
        </w:rPr>
      </w:pPr>
    </w:p>
    <w:p w:rsidR="003E15D6" w:rsidRPr="00124AD6" w:rsidRDefault="003E15D6" w:rsidP="003E15D6">
      <w:pPr>
        <w:jc w:val="center"/>
        <w:rPr>
          <w:b/>
        </w:rPr>
      </w:pPr>
      <w:r w:rsidRPr="00124AD6">
        <w:rPr>
          <w:b/>
        </w:rPr>
        <w:t xml:space="preserve">Gráfica </w:t>
      </w:r>
      <w:r>
        <w:rPr>
          <w:b/>
        </w:rPr>
        <w:t>8</w:t>
      </w:r>
    </w:p>
    <w:tbl>
      <w:tblPr>
        <w:tblW w:w="8969" w:type="dxa"/>
        <w:jc w:val="center"/>
        <w:tblCellMar>
          <w:left w:w="70" w:type="dxa"/>
          <w:right w:w="70" w:type="dxa"/>
        </w:tblCellMar>
        <w:tblLook w:val="04A0" w:firstRow="1" w:lastRow="0" w:firstColumn="1" w:lastColumn="0" w:noHBand="0" w:noVBand="1"/>
      </w:tblPr>
      <w:tblGrid>
        <w:gridCol w:w="8969"/>
      </w:tblGrid>
      <w:tr w:rsidR="003E15D6" w:rsidRPr="00124AD6" w:rsidTr="003E15D6">
        <w:trPr>
          <w:trHeight w:val="285"/>
          <w:jc w:val="center"/>
        </w:trPr>
        <w:tc>
          <w:tcPr>
            <w:tcW w:w="8969" w:type="dxa"/>
            <w:tcBorders>
              <w:top w:val="nil"/>
              <w:left w:val="nil"/>
              <w:bottom w:val="nil"/>
              <w:right w:val="nil"/>
            </w:tcBorders>
            <w:shd w:val="clear" w:color="auto" w:fill="auto"/>
            <w:noWrap/>
            <w:hideMark/>
          </w:tcPr>
          <w:p w:rsidR="003E15D6" w:rsidRPr="00124AD6" w:rsidRDefault="003E15D6" w:rsidP="003E15D6">
            <w:pPr>
              <w:jc w:val="center"/>
              <w:rPr>
                <w:b/>
              </w:rPr>
            </w:pPr>
            <w:r w:rsidRPr="00124AD6">
              <w:rPr>
                <w:b/>
              </w:rPr>
              <w:t>Resultado Presupuestario</w:t>
            </w:r>
          </w:p>
        </w:tc>
      </w:tr>
      <w:tr w:rsidR="003E15D6" w:rsidRPr="00124AD6" w:rsidTr="003E15D6">
        <w:trPr>
          <w:trHeight w:val="285"/>
          <w:jc w:val="center"/>
        </w:trPr>
        <w:tc>
          <w:tcPr>
            <w:tcW w:w="8969" w:type="dxa"/>
            <w:tcBorders>
              <w:top w:val="nil"/>
              <w:left w:val="nil"/>
              <w:bottom w:val="nil"/>
              <w:right w:val="nil"/>
            </w:tcBorders>
            <w:shd w:val="clear" w:color="auto" w:fill="auto"/>
            <w:noWrap/>
            <w:hideMark/>
          </w:tcPr>
          <w:p w:rsidR="003E15D6" w:rsidRPr="00124AD6" w:rsidRDefault="003E15D6" w:rsidP="003E15D6">
            <w:pPr>
              <w:jc w:val="center"/>
              <w:rPr>
                <w:b/>
              </w:rPr>
            </w:pPr>
            <w:r w:rsidRPr="00124AD6">
              <w:rPr>
                <w:b/>
              </w:rPr>
              <w:t>al 31 de diciembre de cada año</w:t>
            </w:r>
          </w:p>
        </w:tc>
      </w:tr>
      <w:tr w:rsidR="003E15D6" w:rsidRPr="00124AD6" w:rsidTr="003E15D6">
        <w:trPr>
          <w:trHeight w:val="330"/>
          <w:jc w:val="center"/>
        </w:trPr>
        <w:tc>
          <w:tcPr>
            <w:tcW w:w="8969" w:type="dxa"/>
            <w:tcBorders>
              <w:top w:val="nil"/>
              <w:left w:val="nil"/>
              <w:bottom w:val="nil"/>
              <w:right w:val="nil"/>
            </w:tcBorders>
            <w:shd w:val="clear" w:color="auto" w:fill="auto"/>
            <w:noWrap/>
            <w:hideMark/>
          </w:tcPr>
          <w:p w:rsidR="003E15D6" w:rsidRPr="00124AD6" w:rsidRDefault="003E15D6" w:rsidP="003E15D6">
            <w:pPr>
              <w:jc w:val="center"/>
              <w:rPr>
                <w:b/>
              </w:rPr>
            </w:pPr>
            <w:r w:rsidRPr="00124AD6">
              <w:rPr>
                <w:b/>
              </w:rPr>
              <w:t>(Cifras en</w:t>
            </w:r>
            <w:r>
              <w:rPr>
                <w:b/>
              </w:rPr>
              <w:t xml:space="preserve"> Millones de Quetzales y como P</w:t>
            </w:r>
            <w:r w:rsidRPr="00124AD6">
              <w:rPr>
                <w:b/>
              </w:rPr>
              <w:t>orcentaje</w:t>
            </w:r>
            <w:r>
              <w:rPr>
                <w:b/>
              </w:rPr>
              <w:t xml:space="preserve"> del PIB</w:t>
            </w:r>
            <w:r w:rsidRPr="00124AD6">
              <w:rPr>
                <w:b/>
              </w:rPr>
              <w:t>)</w:t>
            </w:r>
          </w:p>
        </w:tc>
      </w:tr>
    </w:tbl>
    <w:p w:rsidR="006D3E67" w:rsidRDefault="003E15D6" w:rsidP="003E15D6">
      <w:pPr>
        <w:rPr>
          <w:sz w:val="16"/>
        </w:rPr>
      </w:pPr>
      <w:r>
        <w:rPr>
          <w:noProof/>
          <w:lang w:val="es-GT" w:eastAsia="es-GT"/>
        </w:rPr>
        <w:drawing>
          <wp:inline distT="0" distB="0" distL="0" distR="0" wp14:anchorId="6C4F0B0A" wp14:editId="2F676E34">
            <wp:extent cx="5610758" cy="4103827"/>
            <wp:effectExtent l="0" t="0" r="0" b="0"/>
            <wp:docPr id="55" name="Gráfico 5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D3E67" w:rsidRDefault="003E15D6" w:rsidP="003E15D6">
      <w:pPr>
        <w:rPr>
          <w:sz w:val="16"/>
        </w:rPr>
      </w:pPr>
      <w:r w:rsidRPr="00442774">
        <w:rPr>
          <w:sz w:val="16"/>
        </w:rPr>
        <w:t xml:space="preserve"> </w:t>
      </w:r>
      <w:r>
        <w:rPr>
          <w:sz w:val="16"/>
        </w:rPr>
        <w:t xml:space="preserve">  </w:t>
      </w:r>
      <w:r w:rsidR="00D84086">
        <w:rPr>
          <w:sz w:val="16"/>
        </w:rPr>
        <w:t xml:space="preserve">                 </w:t>
      </w:r>
      <w:r w:rsidR="006D3E67">
        <w:rPr>
          <w:sz w:val="16"/>
        </w:rPr>
        <w:t xml:space="preserve">     </w:t>
      </w:r>
    </w:p>
    <w:p w:rsidR="003E15D6" w:rsidRPr="004247FA" w:rsidRDefault="006D3E67" w:rsidP="003E15D6">
      <w:pPr>
        <w:rPr>
          <w:sz w:val="18"/>
        </w:rPr>
      </w:pPr>
      <w:r>
        <w:rPr>
          <w:sz w:val="18"/>
        </w:rPr>
        <w:t xml:space="preserve">                             </w:t>
      </w:r>
      <w:r w:rsidR="004247FA" w:rsidRPr="004247FA">
        <w:rPr>
          <w:sz w:val="18"/>
        </w:rPr>
        <w:t>*</w:t>
      </w:r>
      <w:r w:rsidR="003E15D6" w:rsidRPr="004247FA">
        <w:rPr>
          <w:sz w:val="18"/>
        </w:rPr>
        <w:t>Cifras preliminares</w:t>
      </w:r>
    </w:p>
    <w:p w:rsidR="003E15D6" w:rsidRPr="004247FA" w:rsidRDefault="006D3E67" w:rsidP="003E15D6">
      <w:pPr>
        <w:jc w:val="both"/>
        <w:rPr>
          <w:sz w:val="18"/>
        </w:rPr>
      </w:pPr>
      <w:r>
        <w:rPr>
          <w:sz w:val="18"/>
        </w:rPr>
        <w:t xml:space="preserve">                              </w:t>
      </w:r>
      <w:r w:rsidR="003E15D6" w:rsidRPr="004247FA">
        <w:rPr>
          <w:sz w:val="18"/>
        </w:rPr>
        <w:t>Fuente: Ministerio de Finanzas Públicas.</w:t>
      </w:r>
    </w:p>
    <w:p w:rsidR="003E15D6" w:rsidRDefault="003E15D6" w:rsidP="003E15D6">
      <w:pPr>
        <w:jc w:val="both"/>
      </w:pPr>
    </w:p>
    <w:p w:rsidR="000D3CE8" w:rsidRPr="000D3CE8" w:rsidRDefault="000D3CE8" w:rsidP="003E15D6">
      <w:pPr>
        <w:jc w:val="both"/>
        <w:rPr>
          <w:sz w:val="10"/>
        </w:rPr>
      </w:pPr>
    </w:p>
    <w:p w:rsidR="003E15D6" w:rsidRDefault="003E15D6" w:rsidP="003E15D6">
      <w:pPr>
        <w:jc w:val="both"/>
      </w:pPr>
      <w:r w:rsidRPr="00793351">
        <w:t>El déficit fiscal resultante se financió principalmente con la emisión de Bonos del Tesoro</w:t>
      </w:r>
      <w:r>
        <w:t xml:space="preserve">, </w:t>
      </w:r>
      <w:r w:rsidRPr="00793351">
        <w:t xml:space="preserve">también se </w:t>
      </w:r>
      <w:r>
        <w:t xml:space="preserve">obtuvo </w:t>
      </w:r>
      <w:r w:rsidRPr="00793351">
        <w:t>financi</w:t>
      </w:r>
      <w:r>
        <w:t>amiento</w:t>
      </w:r>
      <w:r w:rsidRPr="00793351">
        <w:t xml:space="preserve"> con préstamos externos</w:t>
      </w:r>
      <w:r>
        <w:t>.</w:t>
      </w:r>
    </w:p>
    <w:p w:rsidR="003E15D6" w:rsidRDefault="003E15D6" w:rsidP="003E15D6">
      <w:pPr>
        <w:jc w:val="both"/>
      </w:pPr>
    </w:p>
    <w:p w:rsidR="003E15D6" w:rsidRDefault="003E15D6" w:rsidP="003E15D6">
      <w:pPr>
        <w:jc w:val="both"/>
      </w:pPr>
      <w:r w:rsidRPr="000D3CE8">
        <w:t>Para el ejercicio fiscal 2019 se autorizó un monto de Bonos del Tesoro de Q</w:t>
      </w:r>
      <w:r w:rsidR="000D3CE8">
        <w:t>.</w:t>
      </w:r>
      <w:r w:rsidRPr="000D3CE8">
        <w:t>18,419.0 millones, de los cuales Q</w:t>
      </w:r>
      <w:r w:rsidR="000D3CE8">
        <w:t>.</w:t>
      </w:r>
      <w:r w:rsidRPr="000D3CE8">
        <w:t>14,207.7 millones corresponden a la nueva emisión y Q</w:t>
      </w:r>
      <w:r w:rsidR="000D3CE8">
        <w:t>.</w:t>
      </w:r>
      <w:r w:rsidRPr="000D3CE8">
        <w:t xml:space="preserve">4,211.3 millones al </w:t>
      </w:r>
      <w:r w:rsidRPr="000D3CE8">
        <w:rPr>
          <w:i/>
          <w:iCs/>
        </w:rPr>
        <w:t>roll-over</w:t>
      </w:r>
      <w:r w:rsidRPr="000D3CE8">
        <w:t xml:space="preserve">. </w:t>
      </w:r>
      <w:r w:rsidR="000D3CE8">
        <w:t xml:space="preserve"> </w:t>
      </w:r>
      <w:r w:rsidRPr="000D3CE8">
        <w:t>Al 30 de septiembre</w:t>
      </w:r>
      <w:r w:rsidR="000D3CE8">
        <w:t xml:space="preserve"> de 2019</w:t>
      </w:r>
      <w:r w:rsidRPr="000D3CE8">
        <w:t>, se había colocado el 99.0% del monto autorizado, Q</w:t>
      </w:r>
      <w:r w:rsidR="000D3CE8">
        <w:t>.</w:t>
      </w:r>
      <w:r w:rsidRPr="000D3CE8">
        <w:t>9,267.2 millones en el mercado internacional y Q</w:t>
      </w:r>
      <w:r w:rsidR="000D3CE8">
        <w:t>.</w:t>
      </w:r>
      <w:r w:rsidRPr="000D3CE8">
        <w:t>8,972.8 millones en el mercado local, con fechas de vencimiento en los años 2028, 2031, 2034 y 2039</w:t>
      </w:r>
      <w:r w:rsidR="000D3CE8">
        <w:t>,</w:t>
      </w:r>
      <w:r w:rsidRPr="000D3CE8">
        <w:t xml:space="preserve"> a tasas de rendimiento promedio ponderado de 5.99%, 6.05%, 6.52</w:t>
      </w:r>
      <w:r w:rsidR="000D3CE8">
        <w:t>%</w:t>
      </w:r>
      <w:r w:rsidRPr="000D3CE8">
        <w:t xml:space="preserve"> y 7.06%, respectivamente. Vale destacar que, a partir de marzo </w:t>
      </w:r>
      <w:r w:rsidR="000D3CE8">
        <w:t xml:space="preserve">de </w:t>
      </w:r>
      <w:r w:rsidRPr="000D3CE8">
        <w:t>2019, por primera vez, se apertura una serie a un plazo de 20 años, siendo recibida por los inversionistas con una alta demanda, reflejando la confianza en los títulos públicos y en la estabilidad macroeconómica del país. (B</w:t>
      </w:r>
      <w:r w:rsidR="000D3CE8">
        <w:t>ANGUAT</w:t>
      </w:r>
      <w:r w:rsidRPr="000D3CE8">
        <w:t>, 2019. Ibídem.)</w:t>
      </w:r>
      <w:r w:rsidR="000D3CE8">
        <w:t>.</w:t>
      </w:r>
    </w:p>
    <w:p w:rsidR="0053146F" w:rsidRDefault="0053146F" w:rsidP="003E15D6">
      <w:pPr>
        <w:jc w:val="both"/>
      </w:pPr>
    </w:p>
    <w:p w:rsidR="000A4D61" w:rsidRDefault="000A4D61" w:rsidP="003E15D6">
      <w:pPr>
        <w:jc w:val="both"/>
      </w:pPr>
    </w:p>
    <w:p w:rsidR="000A4D61" w:rsidRPr="000D3CE8" w:rsidRDefault="000A4D61" w:rsidP="003E15D6">
      <w:pPr>
        <w:jc w:val="both"/>
      </w:pPr>
    </w:p>
    <w:p w:rsidR="003E15D6" w:rsidRDefault="003E15D6" w:rsidP="00C774F3">
      <w:pPr>
        <w:pStyle w:val="Ttulo2"/>
        <w:numPr>
          <w:ilvl w:val="0"/>
          <w:numId w:val="3"/>
        </w:numPr>
        <w:spacing w:line="276" w:lineRule="auto"/>
        <w:ind w:left="567" w:hanging="567"/>
        <w:rPr>
          <w:rFonts w:ascii="Times New Roman" w:hAnsi="Times New Roman"/>
          <w:color w:val="auto"/>
          <w:sz w:val="24"/>
          <w:szCs w:val="24"/>
        </w:rPr>
      </w:pPr>
      <w:bookmarkStart w:id="7" w:name="_Toc32829788"/>
      <w:r>
        <w:rPr>
          <w:rFonts w:ascii="Times New Roman" w:hAnsi="Times New Roman"/>
          <w:color w:val="auto"/>
          <w:sz w:val="24"/>
          <w:szCs w:val="24"/>
        </w:rPr>
        <w:t>Ingresos Fiscales</w:t>
      </w:r>
      <w:bookmarkEnd w:id="7"/>
    </w:p>
    <w:p w:rsidR="003E15D6" w:rsidRPr="000A4D61" w:rsidRDefault="003E15D6" w:rsidP="003E15D6">
      <w:pPr>
        <w:rPr>
          <w:sz w:val="28"/>
        </w:rPr>
      </w:pPr>
    </w:p>
    <w:p w:rsidR="003E15D6" w:rsidRDefault="003E15D6" w:rsidP="003E15D6">
      <w:pPr>
        <w:jc w:val="both"/>
      </w:pPr>
      <w:r>
        <w:t xml:space="preserve">Durante el </w:t>
      </w:r>
      <w:r w:rsidR="00E53662">
        <w:t>E</w:t>
      </w:r>
      <w:r>
        <w:t xml:space="preserve">jercicio </w:t>
      </w:r>
      <w:r w:rsidR="00E53662">
        <w:t>F</w:t>
      </w:r>
      <w:r>
        <w:t xml:space="preserve">iscal 2019, los ingresos totales del Gobierno Central alcanzaron un monto de Q.81,800.7 millones; de dicho monto, destaca la participación de los Ingresos Tributarios </w:t>
      </w:r>
      <w:r w:rsidR="000817A9">
        <w:t xml:space="preserve">por el monto de Q.62,593.6 millones, </w:t>
      </w:r>
      <w:r>
        <w:t xml:space="preserve">que representan el 76.5% de los ingresos </w:t>
      </w:r>
      <w:r w:rsidR="00E53662">
        <w:t xml:space="preserve">totales </w:t>
      </w:r>
      <w:r>
        <w:t>percibidos.</w:t>
      </w:r>
    </w:p>
    <w:p w:rsidR="003E15D6" w:rsidRPr="000A4D61" w:rsidRDefault="003E15D6" w:rsidP="003E15D6">
      <w:pPr>
        <w:jc w:val="both"/>
        <w:rPr>
          <w:sz w:val="28"/>
        </w:rPr>
      </w:pPr>
    </w:p>
    <w:p w:rsidR="003E15D6" w:rsidRDefault="003E15D6" w:rsidP="003E15D6">
      <w:pPr>
        <w:jc w:val="both"/>
      </w:pPr>
      <w:r>
        <w:t xml:space="preserve">Los Ingresos No Tributarios se percibieron en Q.856.3 millones (1.0%); destacan adicionalmente los Ingresos por Endeudamiento Público Interno mediante la colocación neta de Bonos del Tesoro </w:t>
      </w:r>
      <w:r w:rsidR="000817A9">
        <w:t xml:space="preserve">en </w:t>
      </w:r>
      <w:r>
        <w:t xml:space="preserve">Q.7,441.4 millones (9.1%); por concepto de Contribuciones a la Seguridad y Previsión Social </w:t>
      </w:r>
      <w:r w:rsidR="000817A9">
        <w:t xml:space="preserve">en </w:t>
      </w:r>
      <w:r>
        <w:t xml:space="preserve">Q.2,332.7 millones (2.9%) </w:t>
      </w:r>
      <w:r w:rsidR="0053146F">
        <w:t xml:space="preserve"> </w:t>
      </w:r>
      <w:r>
        <w:t>y</w:t>
      </w:r>
      <w:r w:rsidR="0053146F">
        <w:t xml:space="preserve"> </w:t>
      </w:r>
      <w:r>
        <w:t xml:space="preserve"> Q.7,814.6 millones (9.6%) por</w:t>
      </w:r>
      <w:r w:rsidR="000817A9">
        <w:t xml:space="preserve"> concepto de </w:t>
      </w:r>
      <w:r>
        <w:t>Endeudamiento Público Externo.</w:t>
      </w:r>
    </w:p>
    <w:p w:rsidR="003E15D6" w:rsidRDefault="003E15D6" w:rsidP="003E15D6"/>
    <w:p w:rsidR="0053146F" w:rsidRDefault="0053146F" w:rsidP="003E15D6"/>
    <w:p w:rsidR="003E15D6" w:rsidRPr="00F66D5A" w:rsidRDefault="003E15D6" w:rsidP="003E15D6">
      <w:pPr>
        <w:tabs>
          <w:tab w:val="left" w:pos="426"/>
        </w:tabs>
        <w:jc w:val="center"/>
        <w:rPr>
          <w:b/>
        </w:rPr>
      </w:pPr>
      <w:r w:rsidRPr="00F66D5A">
        <w:rPr>
          <w:b/>
        </w:rPr>
        <w:t>Cuadro 2</w:t>
      </w:r>
    </w:p>
    <w:p w:rsidR="003E15D6" w:rsidRDefault="003E15D6" w:rsidP="003E15D6">
      <w:pPr>
        <w:tabs>
          <w:tab w:val="left" w:pos="426"/>
        </w:tabs>
        <w:jc w:val="center"/>
        <w:rPr>
          <w:b/>
        </w:rPr>
      </w:pPr>
      <w:r>
        <w:rPr>
          <w:b/>
        </w:rPr>
        <w:t xml:space="preserve">Presupuesto General de </w:t>
      </w:r>
      <w:r w:rsidRPr="00F66D5A">
        <w:rPr>
          <w:b/>
        </w:rPr>
        <w:t>Ingresos</w:t>
      </w:r>
      <w:r>
        <w:rPr>
          <w:b/>
        </w:rPr>
        <w:t xml:space="preserve"> del Estado por Rubro</w:t>
      </w:r>
    </w:p>
    <w:p w:rsidR="003E15D6" w:rsidRPr="00F66D5A" w:rsidRDefault="003E15D6" w:rsidP="003E15D6">
      <w:pPr>
        <w:tabs>
          <w:tab w:val="left" w:pos="426"/>
        </w:tabs>
        <w:jc w:val="center"/>
        <w:rPr>
          <w:b/>
        </w:rPr>
      </w:pPr>
      <w:r>
        <w:rPr>
          <w:b/>
        </w:rPr>
        <w:t>Ejercicio Fiscal 2019*</w:t>
      </w:r>
    </w:p>
    <w:p w:rsidR="003E15D6" w:rsidRDefault="003E15D6" w:rsidP="003E15D6">
      <w:pPr>
        <w:tabs>
          <w:tab w:val="left" w:pos="426"/>
        </w:tabs>
        <w:jc w:val="center"/>
        <w:rPr>
          <w:b/>
        </w:rPr>
      </w:pPr>
      <w:r>
        <w:rPr>
          <w:b/>
        </w:rPr>
        <w:t>(</w:t>
      </w:r>
      <w:r w:rsidRPr="00F66D5A">
        <w:rPr>
          <w:b/>
        </w:rPr>
        <w:t>Cifras en Millones de Quetzales</w:t>
      </w:r>
      <w:r>
        <w:rPr>
          <w:b/>
        </w:rPr>
        <w:t>)</w:t>
      </w:r>
    </w:p>
    <w:tbl>
      <w:tblPr>
        <w:tblW w:w="9229" w:type="dxa"/>
        <w:tblInd w:w="55" w:type="dxa"/>
        <w:tblCellMar>
          <w:left w:w="70" w:type="dxa"/>
          <w:right w:w="70" w:type="dxa"/>
        </w:tblCellMar>
        <w:tblLook w:val="04A0" w:firstRow="1" w:lastRow="0" w:firstColumn="1" w:lastColumn="0" w:noHBand="0" w:noVBand="1"/>
      </w:tblPr>
      <w:tblGrid>
        <w:gridCol w:w="4126"/>
        <w:gridCol w:w="1418"/>
        <w:gridCol w:w="1275"/>
        <w:gridCol w:w="1276"/>
        <w:gridCol w:w="1134"/>
      </w:tblGrid>
      <w:tr w:rsidR="003E15D6" w:rsidRPr="009B3F73" w:rsidTr="00F5190F">
        <w:trPr>
          <w:trHeight w:val="565"/>
        </w:trPr>
        <w:tc>
          <w:tcPr>
            <w:tcW w:w="4126"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3E15D6" w:rsidRPr="009B3F73" w:rsidRDefault="003E15D6" w:rsidP="003E15D6">
            <w:pPr>
              <w:jc w:val="center"/>
              <w:rPr>
                <w:b/>
                <w:bCs/>
                <w:sz w:val="22"/>
                <w:szCs w:val="22"/>
                <w:lang w:val="es-GT" w:eastAsia="es-GT"/>
              </w:rPr>
            </w:pPr>
            <w:r w:rsidRPr="009B3F73">
              <w:rPr>
                <w:b/>
                <w:bCs/>
                <w:sz w:val="22"/>
                <w:szCs w:val="22"/>
                <w:lang w:val="es-GT" w:eastAsia="es-GT"/>
              </w:rPr>
              <w:t>Clase de Ingresos</w:t>
            </w:r>
          </w:p>
        </w:tc>
        <w:tc>
          <w:tcPr>
            <w:tcW w:w="1418" w:type="dxa"/>
            <w:tcBorders>
              <w:top w:val="single" w:sz="4" w:space="0" w:color="auto"/>
              <w:left w:val="nil"/>
              <w:bottom w:val="single" w:sz="4" w:space="0" w:color="auto"/>
              <w:right w:val="single" w:sz="4" w:space="0" w:color="auto"/>
            </w:tcBorders>
            <w:shd w:val="clear" w:color="000000" w:fill="8DB4E2"/>
            <w:noWrap/>
            <w:vAlign w:val="center"/>
            <w:hideMark/>
          </w:tcPr>
          <w:p w:rsidR="003E15D6" w:rsidRPr="009B3F73" w:rsidRDefault="003E15D6" w:rsidP="003E15D6">
            <w:pPr>
              <w:jc w:val="center"/>
              <w:rPr>
                <w:b/>
                <w:bCs/>
                <w:sz w:val="22"/>
                <w:szCs w:val="22"/>
                <w:lang w:val="es-GT" w:eastAsia="es-GT"/>
              </w:rPr>
            </w:pPr>
            <w:r w:rsidRPr="009B3F73">
              <w:rPr>
                <w:b/>
                <w:bCs/>
                <w:sz w:val="22"/>
                <w:szCs w:val="22"/>
                <w:lang w:val="es-GT" w:eastAsia="es-GT"/>
              </w:rPr>
              <w:t>Aprobado</w:t>
            </w:r>
          </w:p>
        </w:tc>
        <w:tc>
          <w:tcPr>
            <w:tcW w:w="1275" w:type="dxa"/>
            <w:tcBorders>
              <w:top w:val="single" w:sz="4" w:space="0" w:color="auto"/>
              <w:left w:val="nil"/>
              <w:bottom w:val="single" w:sz="4" w:space="0" w:color="auto"/>
              <w:right w:val="single" w:sz="4" w:space="0" w:color="auto"/>
            </w:tcBorders>
            <w:shd w:val="clear" w:color="000000" w:fill="8DB4E2"/>
            <w:noWrap/>
            <w:vAlign w:val="center"/>
            <w:hideMark/>
          </w:tcPr>
          <w:p w:rsidR="003E15D6" w:rsidRPr="009B3F73" w:rsidRDefault="003E15D6" w:rsidP="003E15D6">
            <w:pPr>
              <w:jc w:val="center"/>
              <w:rPr>
                <w:b/>
                <w:bCs/>
                <w:sz w:val="22"/>
                <w:szCs w:val="22"/>
                <w:lang w:val="es-GT" w:eastAsia="es-GT"/>
              </w:rPr>
            </w:pPr>
            <w:r>
              <w:rPr>
                <w:b/>
                <w:bCs/>
                <w:sz w:val="22"/>
                <w:szCs w:val="22"/>
                <w:lang w:val="es-GT" w:eastAsia="es-GT"/>
              </w:rPr>
              <w:t>Percibido</w:t>
            </w:r>
          </w:p>
        </w:tc>
        <w:tc>
          <w:tcPr>
            <w:tcW w:w="1276" w:type="dxa"/>
            <w:tcBorders>
              <w:top w:val="single" w:sz="4" w:space="0" w:color="auto"/>
              <w:left w:val="nil"/>
              <w:bottom w:val="single" w:sz="4" w:space="0" w:color="auto"/>
              <w:right w:val="single" w:sz="4" w:space="0" w:color="auto"/>
            </w:tcBorders>
            <w:shd w:val="clear" w:color="000000" w:fill="8DB4E2"/>
            <w:noWrap/>
            <w:vAlign w:val="center"/>
            <w:hideMark/>
          </w:tcPr>
          <w:p w:rsidR="003E15D6" w:rsidRPr="009B3F73" w:rsidRDefault="003E15D6" w:rsidP="003E15D6">
            <w:pPr>
              <w:jc w:val="center"/>
              <w:rPr>
                <w:b/>
                <w:bCs/>
                <w:sz w:val="22"/>
                <w:szCs w:val="22"/>
                <w:lang w:val="es-GT" w:eastAsia="es-GT"/>
              </w:rPr>
            </w:pPr>
            <w:r w:rsidRPr="009B3F73">
              <w:rPr>
                <w:b/>
                <w:bCs/>
                <w:sz w:val="22"/>
                <w:szCs w:val="22"/>
                <w:lang w:val="es-GT" w:eastAsia="es-GT"/>
              </w:rPr>
              <w:t>Diferencias</w:t>
            </w:r>
          </w:p>
        </w:tc>
        <w:tc>
          <w:tcPr>
            <w:tcW w:w="1134" w:type="dxa"/>
            <w:tcBorders>
              <w:top w:val="single" w:sz="4" w:space="0" w:color="auto"/>
              <w:left w:val="nil"/>
              <w:bottom w:val="single" w:sz="4" w:space="0" w:color="auto"/>
              <w:right w:val="single" w:sz="4" w:space="0" w:color="auto"/>
            </w:tcBorders>
            <w:shd w:val="clear" w:color="000000" w:fill="8DB4E2"/>
            <w:noWrap/>
            <w:vAlign w:val="center"/>
            <w:hideMark/>
          </w:tcPr>
          <w:p w:rsidR="00B14179" w:rsidRDefault="00B14179" w:rsidP="003E15D6">
            <w:pPr>
              <w:jc w:val="center"/>
              <w:rPr>
                <w:b/>
                <w:bCs/>
                <w:sz w:val="22"/>
                <w:szCs w:val="22"/>
                <w:lang w:val="es-GT" w:eastAsia="es-GT"/>
              </w:rPr>
            </w:pPr>
            <w:r>
              <w:rPr>
                <w:b/>
                <w:bCs/>
                <w:sz w:val="22"/>
                <w:szCs w:val="22"/>
                <w:lang w:val="es-GT" w:eastAsia="es-GT"/>
              </w:rPr>
              <w:t>Ejecución</w:t>
            </w:r>
          </w:p>
          <w:p w:rsidR="003E15D6" w:rsidRPr="009B3F73" w:rsidRDefault="003E15D6" w:rsidP="003E15D6">
            <w:pPr>
              <w:jc w:val="center"/>
              <w:rPr>
                <w:b/>
                <w:bCs/>
                <w:sz w:val="22"/>
                <w:szCs w:val="22"/>
                <w:lang w:val="es-GT" w:eastAsia="es-GT"/>
              </w:rPr>
            </w:pPr>
            <w:r w:rsidRPr="009B3F73">
              <w:rPr>
                <w:b/>
                <w:bCs/>
                <w:sz w:val="22"/>
                <w:szCs w:val="22"/>
                <w:lang w:val="es-GT" w:eastAsia="es-GT"/>
              </w:rPr>
              <w:t>%</w:t>
            </w:r>
          </w:p>
        </w:tc>
      </w:tr>
      <w:tr w:rsidR="003E15D6" w:rsidRPr="009B3F73" w:rsidTr="00F5190F">
        <w:trPr>
          <w:trHeight w:val="315"/>
        </w:trPr>
        <w:tc>
          <w:tcPr>
            <w:tcW w:w="4126" w:type="dxa"/>
            <w:tcBorders>
              <w:top w:val="single" w:sz="4" w:space="0" w:color="auto"/>
              <w:left w:val="single" w:sz="4" w:space="0" w:color="auto"/>
              <w:bottom w:val="nil"/>
              <w:right w:val="single" w:sz="4" w:space="0" w:color="auto"/>
            </w:tcBorders>
            <w:shd w:val="clear" w:color="auto" w:fill="auto"/>
            <w:noWrap/>
            <w:vAlign w:val="bottom"/>
            <w:hideMark/>
          </w:tcPr>
          <w:p w:rsidR="003E15D6" w:rsidRPr="009B3F73" w:rsidRDefault="003E15D6" w:rsidP="003E15D6">
            <w:pPr>
              <w:rPr>
                <w:color w:val="000000"/>
                <w:sz w:val="22"/>
                <w:szCs w:val="22"/>
                <w:lang w:val="es-GT" w:eastAsia="es-GT"/>
              </w:rPr>
            </w:pPr>
            <w:r w:rsidRPr="009B3F73">
              <w:rPr>
                <w:color w:val="000000"/>
                <w:sz w:val="22"/>
                <w:szCs w:val="22"/>
                <w:lang w:val="es-GT" w:eastAsia="es-GT"/>
              </w:rPr>
              <w:t>Ingresos Tributarios</w:t>
            </w:r>
          </w:p>
        </w:tc>
        <w:tc>
          <w:tcPr>
            <w:tcW w:w="1418" w:type="dxa"/>
            <w:tcBorders>
              <w:top w:val="single" w:sz="4" w:space="0" w:color="auto"/>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64,027.7</w:t>
            </w:r>
          </w:p>
        </w:tc>
        <w:tc>
          <w:tcPr>
            <w:tcW w:w="1275" w:type="dxa"/>
            <w:tcBorders>
              <w:top w:val="single" w:sz="4" w:space="0" w:color="auto"/>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62,593.6</w:t>
            </w:r>
          </w:p>
        </w:tc>
        <w:tc>
          <w:tcPr>
            <w:tcW w:w="1276" w:type="dxa"/>
            <w:tcBorders>
              <w:top w:val="single" w:sz="4" w:space="0" w:color="auto"/>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-1,434.1</w:t>
            </w:r>
          </w:p>
        </w:tc>
        <w:tc>
          <w:tcPr>
            <w:tcW w:w="1134" w:type="dxa"/>
            <w:tcBorders>
              <w:top w:val="single" w:sz="4" w:space="0" w:color="auto"/>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76.5%</w:t>
            </w:r>
          </w:p>
        </w:tc>
      </w:tr>
      <w:tr w:rsidR="003E15D6" w:rsidRPr="009B3F73" w:rsidTr="00F5190F">
        <w:trPr>
          <w:trHeight w:val="315"/>
        </w:trPr>
        <w:tc>
          <w:tcPr>
            <w:tcW w:w="4126" w:type="dxa"/>
            <w:tcBorders>
              <w:top w:val="nil"/>
              <w:left w:val="single" w:sz="4" w:space="0" w:color="auto"/>
              <w:bottom w:val="nil"/>
              <w:right w:val="single" w:sz="4" w:space="0" w:color="auto"/>
            </w:tcBorders>
            <w:shd w:val="clear" w:color="auto" w:fill="auto"/>
            <w:noWrap/>
            <w:vAlign w:val="bottom"/>
            <w:hideMark/>
          </w:tcPr>
          <w:p w:rsidR="003E15D6" w:rsidRPr="009B3F73" w:rsidRDefault="003E15D6" w:rsidP="003E15D6">
            <w:pPr>
              <w:rPr>
                <w:color w:val="000000"/>
                <w:sz w:val="22"/>
                <w:szCs w:val="22"/>
                <w:lang w:val="es-GT" w:eastAsia="es-GT"/>
              </w:rPr>
            </w:pPr>
            <w:r w:rsidRPr="009B3F73">
              <w:rPr>
                <w:color w:val="000000"/>
                <w:sz w:val="22"/>
                <w:szCs w:val="22"/>
                <w:lang w:val="es-GT" w:eastAsia="es-GT"/>
              </w:rPr>
              <w:t>Ingresos No Tributarios</w:t>
            </w:r>
          </w:p>
        </w:tc>
        <w:tc>
          <w:tcPr>
            <w:tcW w:w="1418"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817.2</w:t>
            </w:r>
          </w:p>
        </w:tc>
        <w:tc>
          <w:tcPr>
            <w:tcW w:w="1275"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856.3</w:t>
            </w:r>
          </w:p>
        </w:tc>
        <w:tc>
          <w:tcPr>
            <w:tcW w:w="1276"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39.2</w:t>
            </w:r>
          </w:p>
        </w:tc>
        <w:tc>
          <w:tcPr>
            <w:tcW w:w="1134"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1.0%</w:t>
            </w:r>
          </w:p>
        </w:tc>
      </w:tr>
      <w:tr w:rsidR="003E15D6" w:rsidRPr="009B3F73" w:rsidTr="00F5190F">
        <w:trPr>
          <w:trHeight w:val="315"/>
        </w:trPr>
        <w:tc>
          <w:tcPr>
            <w:tcW w:w="4126" w:type="dxa"/>
            <w:tcBorders>
              <w:top w:val="nil"/>
              <w:left w:val="single" w:sz="4" w:space="0" w:color="auto"/>
              <w:bottom w:val="nil"/>
              <w:right w:val="single" w:sz="4" w:space="0" w:color="auto"/>
            </w:tcBorders>
            <w:shd w:val="clear" w:color="auto" w:fill="auto"/>
            <w:noWrap/>
            <w:vAlign w:val="bottom"/>
            <w:hideMark/>
          </w:tcPr>
          <w:p w:rsidR="003E15D6" w:rsidRPr="009B3F73" w:rsidRDefault="003E15D6" w:rsidP="003E15D6">
            <w:pPr>
              <w:rPr>
                <w:color w:val="000000"/>
                <w:sz w:val="22"/>
                <w:szCs w:val="22"/>
                <w:lang w:val="es-GT" w:eastAsia="es-GT"/>
              </w:rPr>
            </w:pPr>
            <w:r w:rsidRPr="009B3F73">
              <w:rPr>
                <w:color w:val="000000"/>
                <w:sz w:val="22"/>
                <w:szCs w:val="22"/>
                <w:lang w:val="es-GT" w:eastAsia="es-GT"/>
              </w:rPr>
              <w:t>Contribuciones a la Seguridad y Previsión Social</w:t>
            </w:r>
          </w:p>
        </w:tc>
        <w:tc>
          <w:tcPr>
            <w:tcW w:w="1418"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2,587.2</w:t>
            </w:r>
          </w:p>
        </w:tc>
        <w:tc>
          <w:tcPr>
            <w:tcW w:w="1275"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2,332.7</w:t>
            </w:r>
          </w:p>
        </w:tc>
        <w:tc>
          <w:tcPr>
            <w:tcW w:w="1276"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-254.5</w:t>
            </w:r>
          </w:p>
        </w:tc>
        <w:tc>
          <w:tcPr>
            <w:tcW w:w="1134"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2.9%</w:t>
            </w:r>
          </w:p>
        </w:tc>
      </w:tr>
      <w:tr w:rsidR="003E15D6" w:rsidRPr="009B3F73" w:rsidTr="00F5190F">
        <w:trPr>
          <w:trHeight w:val="315"/>
        </w:trPr>
        <w:tc>
          <w:tcPr>
            <w:tcW w:w="4126" w:type="dxa"/>
            <w:tcBorders>
              <w:top w:val="nil"/>
              <w:left w:val="single" w:sz="4" w:space="0" w:color="auto"/>
              <w:bottom w:val="nil"/>
              <w:right w:val="single" w:sz="4" w:space="0" w:color="auto"/>
            </w:tcBorders>
            <w:shd w:val="clear" w:color="auto" w:fill="auto"/>
            <w:noWrap/>
            <w:vAlign w:val="bottom"/>
            <w:hideMark/>
          </w:tcPr>
          <w:p w:rsidR="003E15D6" w:rsidRPr="009B3F73" w:rsidRDefault="003E15D6" w:rsidP="003E15D6">
            <w:pPr>
              <w:rPr>
                <w:color w:val="000000"/>
                <w:sz w:val="22"/>
                <w:szCs w:val="22"/>
                <w:lang w:val="es-GT" w:eastAsia="es-GT"/>
              </w:rPr>
            </w:pPr>
            <w:r w:rsidRPr="009B3F73">
              <w:rPr>
                <w:color w:val="000000"/>
                <w:sz w:val="22"/>
                <w:szCs w:val="22"/>
                <w:lang w:val="es-GT" w:eastAsia="es-GT"/>
              </w:rPr>
              <w:t>Venta de Bienes y Servicios de la Administración Pública</w:t>
            </w:r>
          </w:p>
        </w:tc>
        <w:tc>
          <w:tcPr>
            <w:tcW w:w="1418"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415.7</w:t>
            </w:r>
          </w:p>
        </w:tc>
        <w:tc>
          <w:tcPr>
            <w:tcW w:w="1275"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441.7</w:t>
            </w:r>
          </w:p>
        </w:tc>
        <w:tc>
          <w:tcPr>
            <w:tcW w:w="1276"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26.0</w:t>
            </w:r>
          </w:p>
        </w:tc>
        <w:tc>
          <w:tcPr>
            <w:tcW w:w="1134"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0.5%</w:t>
            </w:r>
          </w:p>
        </w:tc>
      </w:tr>
      <w:tr w:rsidR="003E15D6" w:rsidRPr="009B3F73" w:rsidTr="00F5190F">
        <w:trPr>
          <w:trHeight w:val="315"/>
        </w:trPr>
        <w:tc>
          <w:tcPr>
            <w:tcW w:w="4126" w:type="dxa"/>
            <w:tcBorders>
              <w:top w:val="nil"/>
              <w:left w:val="single" w:sz="4" w:space="0" w:color="auto"/>
              <w:bottom w:val="nil"/>
              <w:right w:val="single" w:sz="4" w:space="0" w:color="auto"/>
            </w:tcBorders>
            <w:shd w:val="clear" w:color="auto" w:fill="auto"/>
            <w:noWrap/>
            <w:vAlign w:val="bottom"/>
            <w:hideMark/>
          </w:tcPr>
          <w:p w:rsidR="003E15D6" w:rsidRPr="009B3F73" w:rsidRDefault="003E15D6" w:rsidP="003E15D6">
            <w:pPr>
              <w:rPr>
                <w:color w:val="000000"/>
                <w:sz w:val="22"/>
                <w:szCs w:val="22"/>
                <w:lang w:val="es-GT" w:eastAsia="es-GT"/>
              </w:rPr>
            </w:pPr>
            <w:r w:rsidRPr="009B3F73">
              <w:rPr>
                <w:color w:val="000000"/>
                <w:sz w:val="22"/>
                <w:szCs w:val="22"/>
                <w:lang w:val="es-GT" w:eastAsia="es-GT"/>
              </w:rPr>
              <w:t>Rentas de la Propiedad</w:t>
            </w:r>
          </w:p>
        </w:tc>
        <w:tc>
          <w:tcPr>
            <w:tcW w:w="1418"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423.5</w:t>
            </w:r>
          </w:p>
        </w:tc>
        <w:tc>
          <w:tcPr>
            <w:tcW w:w="1275"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220.9</w:t>
            </w:r>
          </w:p>
        </w:tc>
        <w:tc>
          <w:tcPr>
            <w:tcW w:w="1276"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-202.6</w:t>
            </w:r>
          </w:p>
        </w:tc>
        <w:tc>
          <w:tcPr>
            <w:tcW w:w="1134"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0.3%</w:t>
            </w:r>
          </w:p>
        </w:tc>
      </w:tr>
      <w:tr w:rsidR="003E15D6" w:rsidRPr="009B3F73" w:rsidTr="00F5190F">
        <w:trPr>
          <w:trHeight w:val="315"/>
        </w:trPr>
        <w:tc>
          <w:tcPr>
            <w:tcW w:w="4126" w:type="dxa"/>
            <w:tcBorders>
              <w:top w:val="nil"/>
              <w:left w:val="single" w:sz="4" w:space="0" w:color="auto"/>
              <w:bottom w:val="nil"/>
              <w:right w:val="single" w:sz="4" w:space="0" w:color="auto"/>
            </w:tcBorders>
            <w:shd w:val="clear" w:color="auto" w:fill="auto"/>
            <w:noWrap/>
            <w:vAlign w:val="bottom"/>
            <w:hideMark/>
          </w:tcPr>
          <w:p w:rsidR="003E15D6" w:rsidRPr="009B3F73" w:rsidRDefault="003E15D6" w:rsidP="003E15D6">
            <w:pPr>
              <w:rPr>
                <w:color w:val="000000"/>
                <w:sz w:val="22"/>
                <w:szCs w:val="22"/>
                <w:lang w:val="es-GT" w:eastAsia="es-GT"/>
              </w:rPr>
            </w:pPr>
            <w:r w:rsidRPr="009B3F73">
              <w:rPr>
                <w:color w:val="000000"/>
                <w:sz w:val="22"/>
                <w:szCs w:val="22"/>
                <w:lang w:val="es-GT" w:eastAsia="es-GT"/>
              </w:rPr>
              <w:t>Transferencias Corrientes</w:t>
            </w:r>
          </w:p>
        </w:tc>
        <w:tc>
          <w:tcPr>
            <w:tcW w:w="1418"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272.8</w:t>
            </w:r>
          </w:p>
        </w:tc>
        <w:tc>
          <w:tcPr>
            <w:tcW w:w="1275"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96.0</w:t>
            </w:r>
          </w:p>
        </w:tc>
        <w:tc>
          <w:tcPr>
            <w:tcW w:w="1276"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-176.9</w:t>
            </w:r>
          </w:p>
        </w:tc>
        <w:tc>
          <w:tcPr>
            <w:tcW w:w="1134"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0.1%</w:t>
            </w:r>
          </w:p>
        </w:tc>
      </w:tr>
      <w:tr w:rsidR="003E15D6" w:rsidRPr="009B3F73" w:rsidTr="00F5190F">
        <w:trPr>
          <w:trHeight w:val="315"/>
        </w:trPr>
        <w:tc>
          <w:tcPr>
            <w:tcW w:w="4126" w:type="dxa"/>
            <w:tcBorders>
              <w:top w:val="nil"/>
              <w:left w:val="single" w:sz="4" w:space="0" w:color="auto"/>
              <w:bottom w:val="nil"/>
              <w:right w:val="single" w:sz="4" w:space="0" w:color="auto"/>
            </w:tcBorders>
            <w:shd w:val="clear" w:color="auto" w:fill="auto"/>
            <w:noWrap/>
            <w:vAlign w:val="bottom"/>
            <w:hideMark/>
          </w:tcPr>
          <w:p w:rsidR="003E15D6" w:rsidRPr="009B3F73" w:rsidRDefault="003E15D6" w:rsidP="003E15D6">
            <w:pPr>
              <w:rPr>
                <w:color w:val="000000"/>
                <w:sz w:val="22"/>
                <w:szCs w:val="22"/>
                <w:lang w:val="es-GT" w:eastAsia="es-GT"/>
              </w:rPr>
            </w:pPr>
            <w:r w:rsidRPr="009B3F73">
              <w:rPr>
                <w:color w:val="000000"/>
                <w:sz w:val="22"/>
                <w:szCs w:val="22"/>
                <w:lang w:val="es-GT" w:eastAsia="es-GT"/>
              </w:rPr>
              <w:t>Recuperación de Préstamos de Largo Plazo</w:t>
            </w:r>
          </w:p>
        </w:tc>
        <w:tc>
          <w:tcPr>
            <w:tcW w:w="1418"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3.4</w:t>
            </w:r>
          </w:p>
        </w:tc>
        <w:tc>
          <w:tcPr>
            <w:tcW w:w="1275"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3.6</w:t>
            </w:r>
          </w:p>
        </w:tc>
        <w:tc>
          <w:tcPr>
            <w:tcW w:w="1276"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0.2</w:t>
            </w:r>
          </w:p>
        </w:tc>
        <w:tc>
          <w:tcPr>
            <w:tcW w:w="1134"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0.0%</w:t>
            </w:r>
          </w:p>
        </w:tc>
      </w:tr>
      <w:tr w:rsidR="003E15D6" w:rsidRPr="009B3F73" w:rsidTr="00F5190F">
        <w:trPr>
          <w:trHeight w:val="315"/>
        </w:trPr>
        <w:tc>
          <w:tcPr>
            <w:tcW w:w="4126" w:type="dxa"/>
            <w:tcBorders>
              <w:top w:val="nil"/>
              <w:left w:val="single" w:sz="4" w:space="0" w:color="auto"/>
              <w:bottom w:val="nil"/>
              <w:right w:val="single" w:sz="4" w:space="0" w:color="auto"/>
            </w:tcBorders>
            <w:shd w:val="clear" w:color="auto" w:fill="auto"/>
            <w:noWrap/>
            <w:vAlign w:val="bottom"/>
            <w:hideMark/>
          </w:tcPr>
          <w:p w:rsidR="003E15D6" w:rsidRPr="009B3F73" w:rsidRDefault="003E15D6" w:rsidP="003E15D6">
            <w:pPr>
              <w:rPr>
                <w:color w:val="000000"/>
                <w:sz w:val="22"/>
                <w:szCs w:val="22"/>
                <w:lang w:val="es-GT" w:eastAsia="es-GT"/>
              </w:rPr>
            </w:pPr>
            <w:r w:rsidRPr="009B3F73">
              <w:rPr>
                <w:color w:val="000000"/>
                <w:sz w:val="22"/>
                <w:szCs w:val="22"/>
                <w:lang w:val="es-GT" w:eastAsia="es-GT"/>
              </w:rPr>
              <w:t>Disminución de Otros Activos Financieros</w:t>
            </w:r>
          </w:p>
        </w:tc>
        <w:tc>
          <w:tcPr>
            <w:tcW w:w="1418"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3,367.4</w:t>
            </w:r>
          </w:p>
        </w:tc>
        <w:tc>
          <w:tcPr>
            <w:tcW w:w="1275"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0.0</w:t>
            </w:r>
          </w:p>
        </w:tc>
        <w:tc>
          <w:tcPr>
            <w:tcW w:w="1276"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-3,367.4</w:t>
            </w:r>
          </w:p>
        </w:tc>
        <w:tc>
          <w:tcPr>
            <w:tcW w:w="1134"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0.0%</w:t>
            </w:r>
          </w:p>
        </w:tc>
      </w:tr>
      <w:tr w:rsidR="003E15D6" w:rsidRPr="009B3F73" w:rsidTr="00F5190F">
        <w:trPr>
          <w:trHeight w:val="315"/>
        </w:trPr>
        <w:tc>
          <w:tcPr>
            <w:tcW w:w="4126" w:type="dxa"/>
            <w:tcBorders>
              <w:top w:val="nil"/>
              <w:left w:val="single" w:sz="4" w:space="0" w:color="auto"/>
              <w:bottom w:val="nil"/>
              <w:right w:val="single" w:sz="4" w:space="0" w:color="auto"/>
            </w:tcBorders>
            <w:shd w:val="clear" w:color="auto" w:fill="auto"/>
            <w:noWrap/>
            <w:vAlign w:val="bottom"/>
            <w:hideMark/>
          </w:tcPr>
          <w:p w:rsidR="003E15D6" w:rsidRPr="009B3F73" w:rsidRDefault="003E15D6" w:rsidP="003E15D6">
            <w:pPr>
              <w:rPr>
                <w:color w:val="000000"/>
                <w:sz w:val="22"/>
                <w:szCs w:val="22"/>
                <w:lang w:val="es-GT" w:eastAsia="es-GT"/>
              </w:rPr>
            </w:pPr>
            <w:r w:rsidRPr="009B3F73">
              <w:rPr>
                <w:color w:val="000000"/>
                <w:sz w:val="22"/>
                <w:szCs w:val="22"/>
                <w:lang w:val="es-GT" w:eastAsia="es-GT"/>
              </w:rPr>
              <w:t>Endeudamiento Público Interno</w:t>
            </w:r>
          </w:p>
        </w:tc>
        <w:tc>
          <w:tcPr>
            <w:tcW w:w="1418"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14,207.7</w:t>
            </w:r>
          </w:p>
        </w:tc>
        <w:tc>
          <w:tcPr>
            <w:tcW w:w="1275"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7,441.4</w:t>
            </w:r>
          </w:p>
        </w:tc>
        <w:tc>
          <w:tcPr>
            <w:tcW w:w="1276"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-6,766.3</w:t>
            </w:r>
          </w:p>
        </w:tc>
        <w:tc>
          <w:tcPr>
            <w:tcW w:w="1134"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9.1%</w:t>
            </w:r>
          </w:p>
        </w:tc>
      </w:tr>
      <w:tr w:rsidR="003E15D6" w:rsidRPr="009B3F73" w:rsidTr="00F5190F">
        <w:trPr>
          <w:trHeight w:val="315"/>
        </w:trPr>
        <w:tc>
          <w:tcPr>
            <w:tcW w:w="4126" w:type="dxa"/>
            <w:tcBorders>
              <w:top w:val="nil"/>
              <w:left w:val="single" w:sz="4" w:space="0" w:color="auto"/>
              <w:bottom w:val="nil"/>
              <w:right w:val="single" w:sz="4" w:space="0" w:color="auto"/>
            </w:tcBorders>
            <w:shd w:val="clear" w:color="auto" w:fill="auto"/>
            <w:noWrap/>
            <w:vAlign w:val="bottom"/>
            <w:hideMark/>
          </w:tcPr>
          <w:p w:rsidR="003E15D6" w:rsidRPr="009B3F73" w:rsidRDefault="003E15D6" w:rsidP="003E15D6">
            <w:pPr>
              <w:rPr>
                <w:color w:val="000000"/>
                <w:sz w:val="22"/>
                <w:szCs w:val="22"/>
                <w:lang w:val="es-GT" w:eastAsia="es-GT"/>
              </w:rPr>
            </w:pPr>
            <w:r w:rsidRPr="009B3F73">
              <w:rPr>
                <w:color w:val="000000"/>
                <w:sz w:val="22"/>
                <w:szCs w:val="22"/>
                <w:lang w:val="es-GT" w:eastAsia="es-GT"/>
              </w:rPr>
              <w:t>Endeudamiento Público Externo</w:t>
            </w:r>
          </w:p>
        </w:tc>
        <w:tc>
          <w:tcPr>
            <w:tcW w:w="1418"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1,592.6</w:t>
            </w:r>
          </w:p>
        </w:tc>
        <w:tc>
          <w:tcPr>
            <w:tcW w:w="1275"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7,814.6</w:t>
            </w:r>
          </w:p>
        </w:tc>
        <w:tc>
          <w:tcPr>
            <w:tcW w:w="1276"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6,222.0</w:t>
            </w:r>
          </w:p>
        </w:tc>
        <w:tc>
          <w:tcPr>
            <w:tcW w:w="1134" w:type="dxa"/>
            <w:tcBorders>
              <w:top w:val="nil"/>
              <w:left w:val="nil"/>
              <w:bottom w:val="nil"/>
              <w:right w:val="single" w:sz="4" w:space="0" w:color="auto"/>
            </w:tcBorders>
            <w:shd w:val="clear" w:color="auto" w:fill="auto"/>
            <w:noWrap/>
            <w:vAlign w:val="bottom"/>
            <w:hideMark/>
          </w:tcPr>
          <w:p w:rsidR="003E15D6" w:rsidRPr="009B3F73" w:rsidRDefault="003E15D6" w:rsidP="003E15D6">
            <w:pPr>
              <w:jc w:val="right"/>
              <w:rPr>
                <w:color w:val="000000"/>
                <w:sz w:val="22"/>
                <w:szCs w:val="22"/>
                <w:lang w:val="es-GT" w:eastAsia="es-GT"/>
              </w:rPr>
            </w:pPr>
            <w:r w:rsidRPr="009B3F73">
              <w:rPr>
                <w:color w:val="000000"/>
                <w:sz w:val="22"/>
                <w:szCs w:val="22"/>
                <w:lang w:val="es-GT" w:eastAsia="es-GT"/>
              </w:rPr>
              <w:t>9.6%</w:t>
            </w:r>
          </w:p>
        </w:tc>
      </w:tr>
      <w:tr w:rsidR="003E15D6" w:rsidRPr="009B3F73" w:rsidTr="00F5190F">
        <w:trPr>
          <w:trHeight w:val="315"/>
        </w:trPr>
        <w:tc>
          <w:tcPr>
            <w:tcW w:w="4126" w:type="dxa"/>
            <w:tcBorders>
              <w:top w:val="nil"/>
              <w:left w:val="single" w:sz="4" w:space="0" w:color="auto"/>
              <w:bottom w:val="single" w:sz="4" w:space="0" w:color="auto"/>
              <w:right w:val="single" w:sz="4" w:space="0" w:color="auto"/>
            </w:tcBorders>
            <w:shd w:val="clear" w:color="auto" w:fill="auto"/>
            <w:noWrap/>
            <w:vAlign w:val="bottom"/>
            <w:hideMark/>
          </w:tcPr>
          <w:p w:rsidR="003E15D6" w:rsidRPr="009B3F73" w:rsidRDefault="003E15D6" w:rsidP="003E15D6">
            <w:pPr>
              <w:jc w:val="center"/>
              <w:rPr>
                <w:b/>
                <w:bCs/>
                <w:color w:val="000000"/>
                <w:sz w:val="22"/>
                <w:szCs w:val="22"/>
                <w:lang w:val="es-GT" w:eastAsia="es-GT"/>
              </w:rPr>
            </w:pPr>
            <w:r w:rsidRPr="009B3F73">
              <w:rPr>
                <w:b/>
                <w:bCs/>
                <w:color w:val="000000"/>
                <w:sz w:val="22"/>
                <w:szCs w:val="22"/>
                <w:lang w:val="es-GT" w:eastAsia="es-GT"/>
              </w:rPr>
              <w:t>Total</w:t>
            </w:r>
          </w:p>
        </w:tc>
        <w:tc>
          <w:tcPr>
            <w:tcW w:w="1418" w:type="dxa"/>
            <w:tcBorders>
              <w:top w:val="nil"/>
              <w:left w:val="nil"/>
              <w:bottom w:val="single" w:sz="4" w:space="0" w:color="auto"/>
              <w:right w:val="single" w:sz="4" w:space="0" w:color="auto"/>
            </w:tcBorders>
            <w:shd w:val="clear" w:color="auto" w:fill="auto"/>
            <w:noWrap/>
            <w:vAlign w:val="bottom"/>
            <w:hideMark/>
          </w:tcPr>
          <w:p w:rsidR="003E15D6" w:rsidRPr="009B3F73" w:rsidRDefault="003E15D6" w:rsidP="003E15D6">
            <w:pPr>
              <w:jc w:val="right"/>
              <w:rPr>
                <w:b/>
                <w:bCs/>
                <w:color w:val="000000"/>
                <w:sz w:val="22"/>
                <w:szCs w:val="22"/>
                <w:lang w:val="es-GT" w:eastAsia="es-GT"/>
              </w:rPr>
            </w:pPr>
            <w:r w:rsidRPr="009B3F73">
              <w:rPr>
                <w:b/>
                <w:bCs/>
                <w:color w:val="000000"/>
                <w:sz w:val="22"/>
                <w:szCs w:val="22"/>
                <w:lang w:val="es-GT" w:eastAsia="es-GT"/>
              </w:rPr>
              <w:t>87,715.1</w:t>
            </w:r>
          </w:p>
        </w:tc>
        <w:tc>
          <w:tcPr>
            <w:tcW w:w="1275" w:type="dxa"/>
            <w:tcBorders>
              <w:top w:val="nil"/>
              <w:left w:val="nil"/>
              <w:bottom w:val="single" w:sz="4" w:space="0" w:color="auto"/>
              <w:right w:val="single" w:sz="4" w:space="0" w:color="auto"/>
            </w:tcBorders>
            <w:shd w:val="clear" w:color="auto" w:fill="auto"/>
            <w:noWrap/>
            <w:vAlign w:val="bottom"/>
            <w:hideMark/>
          </w:tcPr>
          <w:p w:rsidR="003E15D6" w:rsidRPr="009B3F73" w:rsidRDefault="003E15D6" w:rsidP="003E15D6">
            <w:pPr>
              <w:jc w:val="right"/>
              <w:rPr>
                <w:b/>
                <w:bCs/>
                <w:color w:val="000000"/>
                <w:sz w:val="22"/>
                <w:szCs w:val="22"/>
                <w:lang w:val="es-GT" w:eastAsia="es-GT"/>
              </w:rPr>
            </w:pPr>
            <w:r w:rsidRPr="009B3F73">
              <w:rPr>
                <w:b/>
                <w:bCs/>
                <w:color w:val="000000"/>
                <w:sz w:val="22"/>
                <w:szCs w:val="22"/>
                <w:lang w:val="es-GT" w:eastAsia="es-GT"/>
              </w:rPr>
              <w:t>81,800.7</w:t>
            </w:r>
          </w:p>
        </w:tc>
        <w:tc>
          <w:tcPr>
            <w:tcW w:w="1276" w:type="dxa"/>
            <w:tcBorders>
              <w:top w:val="nil"/>
              <w:left w:val="nil"/>
              <w:bottom w:val="single" w:sz="4" w:space="0" w:color="auto"/>
              <w:right w:val="single" w:sz="4" w:space="0" w:color="auto"/>
            </w:tcBorders>
            <w:shd w:val="clear" w:color="auto" w:fill="auto"/>
            <w:noWrap/>
            <w:vAlign w:val="bottom"/>
            <w:hideMark/>
          </w:tcPr>
          <w:p w:rsidR="003E15D6" w:rsidRPr="009B3F73" w:rsidRDefault="003E15D6" w:rsidP="003E15D6">
            <w:pPr>
              <w:jc w:val="right"/>
              <w:rPr>
                <w:b/>
                <w:bCs/>
                <w:color w:val="000000"/>
                <w:sz w:val="22"/>
                <w:szCs w:val="22"/>
                <w:lang w:val="es-GT" w:eastAsia="es-GT"/>
              </w:rPr>
            </w:pPr>
            <w:r w:rsidRPr="009B3F73">
              <w:rPr>
                <w:b/>
                <w:bCs/>
                <w:color w:val="000000"/>
                <w:sz w:val="22"/>
                <w:szCs w:val="22"/>
                <w:lang w:val="es-GT" w:eastAsia="es-GT"/>
              </w:rPr>
              <w:t>-5,914.3</w:t>
            </w:r>
          </w:p>
        </w:tc>
        <w:tc>
          <w:tcPr>
            <w:tcW w:w="1134" w:type="dxa"/>
            <w:tcBorders>
              <w:top w:val="nil"/>
              <w:left w:val="nil"/>
              <w:bottom w:val="single" w:sz="4" w:space="0" w:color="auto"/>
              <w:right w:val="single" w:sz="4" w:space="0" w:color="auto"/>
            </w:tcBorders>
            <w:shd w:val="clear" w:color="auto" w:fill="auto"/>
            <w:noWrap/>
            <w:vAlign w:val="bottom"/>
            <w:hideMark/>
          </w:tcPr>
          <w:p w:rsidR="003E15D6" w:rsidRPr="009B3F73" w:rsidRDefault="003E15D6" w:rsidP="003E15D6">
            <w:pPr>
              <w:jc w:val="right"/>
              <w:rPr>
                <w:b/>
                <w:bCs/>
                <w:color w:val="000000"/>
                <w:sz w:val="22"/>
                <w:szCs w:val="22"/>
                <w:lang w:val="es-GT" w:eastAsia="es-GT"/>
              </w:rPr>
            </w:pPr>
            <w:r w:rsidRPr="009B3F73">
              <w:rPr>
                <w:b/>
                <w:bCs/>
                <w:color w:val="000000"/>
                <w:sz w:val="22"/>
                <w:szCs w:val="22"/>
                <w:lang w:val="es-GT" w:eastAsia="es-GT"/>
              </w:rPr>
              <w:t>100.0%</w:t>
            </w:r>
          </w:p>
        </w:tc>
      </w:tr>
    </w:tbl>
    <w:p w:rsidR="003E15D6" w:rsidRPr="0053146F" w:rsidRDefault="003E15D6" w:rsidP="003E15D6">
      <w:pPr>
        <w:tabs>
          <w:tab w:val="left" w:pos="426"/>
        </w:tabs>
        <w:rPr>
          <w:sz w:val="18"/>
        </w:rPr>
      </w:pPr>
      <w:r w:rsidRPr="0053146F">
        <w:rPr>
          <w:sz w:val="18"/>
        </w:rPr>
        <w:t>* Cifras preliminares</w:t>
      </w:r>
    </w:p>
    <w:p w:rsidR="003E15D6" w:rsidRPr="0053146F" w:rsidRDefault="003E15D6" w:rsidP="003E15D6">
      <w:pPr>
        <w:rPr>
          <w:sz w:val="18"/>
          <w:lang w:val="es-GT"/>
        </w:rPr>
      </w:pPr>
      <w:r w:rsidRPr="0053146F">
        <w:rPr>
          <w:sz w:val="18"/>
        </w:rPr>
        <w:t>Fuente: Ministerio de Finanzas Públicas.</w:t>
      </w:r>
    </w:p>
    <w:p w:rsidR="003E15D6" w:rsidRPr="003E15D6" w:rsidRDefault="003E15D6" w:rsidP="003E15D6">
      <w:pPr>
        <w:jc w:val="both"/>
        <w:rPr>
          <w:lang w:val="es-GT"/>
        </w:rPr>
      </w:pPr>
    </w:p>
    <w:p w:rsidR="003E15D6" w:rsidRDefault="003E15D6" w:rsidP="003E15D6">
      <w:pPr>
        <w:jc w:val="both"/>
        <w:rPr>
          <w:rFonts w:eastAsia="Calibri"/>
          <w:lang w:val="es-GT" w:eastAsia="es-GT"/>
        </w:rPr>
      </w:pPr>
    </w:p>
    <w:p w:rsidR="003E15D6" w:rsidRPr="00A0139A" w:rsidRDefault="003E15D6" w:rsidP="003E15D6">
      <w:pPr>
        <w:jc w:val="both"/>
        <w:rPr>
          <w:lang w:val="es-MX"/>
        </w:rPr>
      </w:pPr>
      <w:r>
        <w:rPr>
          <w:lang w:val="es-MX"/>
        </w:rPr>
        <w:t xml:space="preserve">La recaudación </w:t>
      </w:r>
      <w:r w:rsidR="0053146F">
        <w:rPr>
          <w:lang w:val="es-MX"/>
        </w:rPr>
        <w:t xml:space="preserve">acumulada </w:t>
      </w:r>
      <w:r>
        <w:rPr>
          <w:lang w:val="es-MX"/>
        </w:rPr>
        <w:t xml:space="preserve">de </w:t>
      </w:r>
      <w:r w:rsidRPr="00A0139A">
        <w:rPr>
          <w:lang w:val="es-MX"/>
        </w:rPr>
        <w:t>ingresos tributarios</w:t>
      </w:r>
      <w:r>
        <w:rPr>
          <w:lang w:val="es-MX"/>
        </w:rPr>
        <w:t xml:space="preserve"> al 31 de diciembre de 2019, </w:t>
      </w:r>
      <w:r w:rsidRPr="00A0139A">
        <w:rPr>
          <w:lang w:val="es-MX"/>
        </w:rPr>
        <w:t>se ubic</w:t>
      </w:r>
      <w:r>
        <w:rPr>
          <w:lang w:val="es-MX"/>
        </w:rPr>
        <w:t>ó en</w:t>
      </w:r>
      <w:r w:rsidRPr="00A0139A">
        <w:rPr>
          <w:lang w:val="es-MX"/>
        </w:rPr>
        <w:t xml:space="preserve"> Q.</w:t>
      </w:r>
      <w:r>
        <w:rPr>
          <w:lang w:val="es-MX"/>
        </w:rPr>
        <w:t>62,593.6</w:t>
      </w:r>
      <w:r w:rsidRPr="00A0139A">
        <w:rPr>
          <w:lang w:val="es-MX"/>
        </w:rPr>
        <w:t xml:space="preserve"> millones, lo que representó un incremento </w:t>
      </w:r>
      <w:r>
        <w:rPr>
          <w:lang w:val="es-MX"/>
        </w:rPr>
        <w:t>de 6.4</w:t>
      </w:r>
      <w:r w:rsidRPr="00A0139A">
        <w:rPr>
          <w:lang w:val="es-MX"/>
        </w:rPr>
        <w:t>%</w:t>
      </w:r>
      <w:r>
        <w:rPr>
          <w:lang w:val="es-MX"/>
        </w:rPr>
        <w:t xml:space="preserve"> respecto de lo observado para el Ejercicio Fiscal 2018.</w:t>
      </w:r>
    </w:p>
    <w:p w:rsidR="003E15D6" w:rsidRDefault="003E15D6" w:rsidP="003E15D6">
      <w:pPr>
        <w:jc w:val="center"/>
        <w:rPr>
          <w:b/>
          <w:lang w:val="es-MX"/>
        </w:rPr>
      </w:pPr>
    </w:p>
    <w:p w:rsidR="0053146F" w:rsidRDefault="0053146F" w:rsidP="003E15D6">
      <w:pPr>
        <w:jc w:val="center"/>
        <w:rPr>
          <w:b/>
          <w:lang w:val="es-MX"/>
        </w:rPr>
      </w:pPr>
    </w:p>
    <w:p w:rsidR="0053146F" w:rsidRDefault="0053146F" w:rsidP="003E15D6">
      <w:pPr>
        <w:jc w:val="center"/>
        <w:rPr>
          <w:b/>
          <w:lang w:val="es-MX"/>
        </w:rPr>
      </w:pPr>
    </w:p>
    <w:p w:rsidR="003E15D6" w:rsidRPr="00124AD6" w:rsidRDefault="003E15D6" w:rsidP="003E15D6">
      <w:pPr>
        <w:jc w:val="center"/>
        <w:rPr>
          <w:b/>
        </w:rPr>
      </w:pPr>
      <w:r w:rsidRPr="00124AD6">
        <w:rPr>
          <w:b/>
        </w:rPr>
        <w:t xml:space="preserve">Gráfica </w:t>
      </w:r>
      <w:r>
        <w:rPr>
          <w:b/>
        </w:rPr>
        <w:t>9</w:t>
      </w:r>
    </w:p>
    <w:p w:rsidR="003E15D6" w:rsidRDefault="003E15D6" w:rsidP="003E15D6">
      <w:pPr>
        <w:jc w:val="center"/>
        <w:rPr>
          <w:b/>
        </w:rPr>
      </w:pPr>
      <w:r w:rsidRPr="00124AD6">
        <w:rPr>
          <w:b/>
        </w:rPr>
        <w:t>Recaudación Tributaria 20</w:t>
      </w:r>
      <w:r>
        <w:rPr>
          <w:b/>
        </w:rPr>
        <w:t>10</w:t>
      </w:r>
      <w:r w:rsidR="0053146F">
        <w:rPr>
          <w:b/>
        </w:rPr>
        <w:t xml:space="preserve"> </w:t>
      </w:r>
      <w:r w:rsidRPr="00124AD6">
        <w:rPr>
          <w:b/>
        </w:rPr>
        <w:t>-</w:t>
      </w:r>
      <w:r w:rsidR="0053146F">
        <w:rPr>
          <w:b/>
        </w:rPr>
        <w:t xml:space="preserve"> </w:t>
      </w:r>
      <w:r w:rsidRPr="00124AD6">
        <w:rPr>
          <w:b/>
        </w:rPr>
        <w:t>201</w:t>
      </w:r>
      <w:r>
        <w:rPr>
          <w:b/>
        </w:rPr>
        <w:t>9*</w:t>
      </w:r>
    </w:p>
    <w:p w:rsidR="003E15D6" w:rsidRPr="00124AD6" w:rsidRDefault="003E15D6" w:rsidP="003E15D6">
      <w:pPr>
        <w:jc w:val="center"/>
        <w:rPr>
          <w:b/>
        </w:rPr>
      </w:pPr>
      <w:r>
        <w:rPr>
          <w:b/>
        </w:rPr>
        <w:t>Acumulado al 31 de diciembre de cada año</w:t>
      </w:r>
    </w:p>
    <w:p w:rsidR="003E15D6" w:rsidRDefault="003E15D6" w:rsidP="003E15D6">
      <w:pPr>
        <w:jc w:val="center"/>
        <w:rPr>
          <w:b/>
        </w:rPr>
      </w:pPr>
      <w:r w:rsidRPr="00124AD6">
        <w:rPr>
          <w:b/>
        </w:rPr>
        <w:t>(Cifras en Millones de Quetzales)</w:t>
      </w:r>
    </w:p>
    <w:p w:rsidR="003E15D6" w:rsidRPr="00124AD6" w:rsidRDefault="003E15D6" w:rsidP="003E15D6">
      <w:pPr>
        <w:jc w:val="center"/>
      </w:pPr>
      <w:r>
        <w:rPr>
          <w:noProof/>
          <w:lang w:val="es-GT" w:eastAsia="es-GT"/>
        </w:rPr>
        <w:drawing>
          <wp:inline distT="0" distB="0" distL="0" distR="0" wp14:anchorId="2DFB8633" wp14:editId="25582D0B">
            <wp:extent cx="5612130" cy="3185160"/>
            <wp:effectExtent l="0" t="0" r="7620" b="0"/>
            <wp:docPr id="57" name="Gráfico 5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A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E15D6" w:rsidRPr="0053146F" w:rsidRDefault="003F669A" w:rsidP="003E15D6">
      <w:pPr>
        <w:jc w:val="both"/>
        <w:rPr>
          <w:sz w:val="18"/>
        </w:rPr>
      </w:pPr>
      <w:r>
        <w:rPr>
          <w:sz w:val="18"/>
        </w:rPr>
        <w:t xml:space="preserve">                                 </w:t>
      </w:r>
      <w:r w:rsidR="003E15D6" w:rsidRPr="0053146F">
        <w:rPr>
          <w:sz w:val="18"/>
        </w:rPr>
        <w:t>* Cifras preliminares</w:t>
      </w:r>
    </w:p>
    <w:p w:rsidR="003E15D6" w:rsidRPr="0053146F" w:rsidRDefault="003F669A" w:rsidP="003E15D6">
      <w:pPr>
        <w:jc w:val="both"/>
        <w:rPr>
          <w:sz w:val="18"/>
        </w:rPr>
      </w:pPr>
      <w:r>
        <w:rPr>
          <w:sz w:val="18"/>
        </w:rPr>
        <w:t xml:space="preserve">                                    </w:t>
      </w:r>
      <w:r w:rsidR="003E15D6" w:rsidRPr="0053146F">
        <w:rPr>
          <w:sz w:val="18"/>
        </w:rPr>
        <w:t>Fuente: Ministerio de Finanzas Públicas.</w:t>
      </w:r>
    </w:p>
    <w:p w:rsidR="003E15D6" w:rsidRDefault="003E15D6" w:rsidP="003E15D6">
      <w:pPr>
        <w:autoSpaceDE w:val="0"/>
        <w:autoSpaceDN w:val="0"/>
        <w:adjustRightInd w:val="0"/>
        <w:jc w:val="both"/>
        <w:rPr>
          <w:rFonts w:eastAsia="Calibri"/>
          <w:lang w:val="es-GT" w:eastAsia="es-GT"/>
        </w:rPr>
      </w:pPr>
    </w:p>
    <w:p w:rsidR="0053146F" w:rsidRDefault="0053146F" w:rsidP="003E15D6">
      <w:pPr>
        <w:autoSpaceDE w:val="0"/>
        <w:autoSpaceDN w:val="0"/>
        <w:adjustRightInd w:val="0"/>
        <w:jc w:val="both"/>
        <w:rPr>
          <w:rFonts w:eastAsia="Calibri"/>
          <w:lang w:val="es-GT" w:eastAsia="es-GT"/>
        </w:rPr>
      </w:pPr>
    </w:p>
    <w:p w:rsidR="003E15D6" w:rsidRDefault="003E15D6" w:rsidP="003E15D6">
      <w:pPr>
        <w:jc w:val="both"/>
        <w:rPr>
          <w:lang w:val="es-MX"/>
        </w:rPr>
      </w:pPr>
      <w:r w:rsidRPr="00A0139A">
        <w:rPr>
          <w:lang w:val="es-MX"/>
        </w:rPr>
        <w:t xml:space="preserve">El crecimiento estuvo apoyado, principalmente, por la recaudación de los impuestos </w:t>
      </w:r>
      <w:r>
        <w:rPr>
          <w:lang w:val="es-MX"/>
        </w:rPr>
        <w:t>internos</w:t>
      </w:r>
      <w:r w:rsidRPr="00A0139A">
        <w:rPr>
          <w:lang w:val="es-MX"/>
        </w:rPr>
        <w:t xml:space="preserve">, los cuales aumentaron </w:t>
      </w:r>
      <w:r>
        <w:rPr>
          <w:lang w:val="es-MX"/>
        </w:rPr>
        <w:t>6.7</w:t>
      </w:r>
      <w:r w:rsidRPr="00A0139A">
        <w:rPr>
          <w:lang w:val="es-MX"/>
        </w:rPr>
        <w:t>%</w:t>
      </w:r>
      <w:r w:rsidR="00AC5873">
        <w:rPr>
          <w:lang w:val="es-MX"/>
        </w:rPr>
        <w:t xml:space="preserve"> con respecto a lo observado en 2018</w:t>
      </w:r>
      <w:r>
        <w:rPr>
          <w:lang w:val="es-MX"/>
        </w:rPr>
        <w:t>. E</w:t>
      </w:r>
      <w:r w:rsidRPr="00A0139A">
        <w:rPr>
          <w:lang w:val="es-MX"/>
        </w:rPr>
        <w:t xml:space="preserve">l incremento es producto del crecimiento del Impuesto al Valor Agregado </w:t>
      </w:r>
      <w:r>
        <w:rPr>
          <w:lang w:val="es-MX"/>
        </w:rPr>
        <w:t>Doméstico</w:t>
      </w:r>
      <w:r w:rsidRPr="00A0139A">
        <w:rPr>
          <w:lang w:val="es-MX"/>
        </w:rPr>
        <w:t xml:space="preserve"> </w:t>
      </w:r>
      <w:r w:rsidR="00AC5873">
        <w:rPr>
          <w:lang w:val="es-MX"/>
        </w:rPr>
        <w:t>(</w:t>
      </w:r>
      <w:r>
        <w:rPr>
          <w:lang w:val="es-MX"/>
        </w:rPr>
        <w:t>10.2%</w:t>
      </w:r>
      <w:r w:rsidR="00AC5873">
        <w:rPr>
          <w:lang w:val="es-MX"/>
        </w:rPr>
        <w:t>)</w:t>
      </w:r>
      <w:r>
        <w:rPr>
          <w:lang w:val="es-MX"/>
        </w:rPr>
        <w:t>;</w:t>
      </w:r>
      <w:r w:rsidRPr="00A0139A">
        <w:rPr>
          <w:lang w:val="es-MX"/>
        </w:rPr>
        <w:t xml:space="preserve"> </w:t>
      </w:r>
      <w:r w:rsidR="00AC5873">
        <w:rPr>
          <w:lang w:val="es-MX"/>
        </w:rPr>
        <w:t xml:space="preserve">Impuesto </w:t>
      </w:r>
      <w:r>
        <w:rPr>
          <w:lang w:val="es-MX"/>
        </w:rPr>
        <w:t xml:space="preserve">a la Distribución de Bebidas </w:t>
      </w:r>
      <w:r w:rsidR="00AC5873">
        <w:rPr>
          <w:lang w:val="es-MX"/>
        </w:rPr>
        <w:t>(</w:t>
      </w:r>
      <w:r>
        <w:rPr>
          <w:lang w:val="es-MX"/>
        </w:rPr>
        <w:t>10.0%</w:t>
      </w:r>
      <w:r w:rsidR="00AC5873">
        <w:rPr>
          <w:lang w:val="es-MX"/>
        </w:rPr>
        <w:t>)</w:t>
      </w:r>
      <w:r>
        <w:rPr>
          <w:lang w:val="es-MX"/>
        </w:rPr>
        <w:t xml:space="preserve">; Tabacos y sus </w:t>
      </w:r>
      <w:r w:rsidR="00AC5873">
        <w:rPr>
          <w:lang w:val="es-MX"/>
        </w:rPr>
        <w:t>P</w:t>
      </w:r>
      <w:r>
        <w:rPr>
          <w:lang w:val="es-MX"/>
        </w:rPr>
        <w:t xml:space="preserve">roductos </w:t>
      </w:r>
      <w:r w:rsidR="00AC5873">
        <w:rPr>
          <w:lang w:val="es-MX"/>
        </w:rPr>
        <w:t>(</w:t>
      </w:r>
      <w:r>
        <w:rPr>
          <w:lang w:val="es-MX"/>
        </w:rPr>
        <w:t>7.5%</w:t>
      </w:r>
      <w:r w:rsidR="00AC5873">
        <w:rPr>
          <w:lang w:val="es-MX"/>
        </w:rPr>
        <w:t>)</w:t>
      </w:r>
      <w:r>
        <w:rPr>
          <w:lang w:val="es-MX"/>
        </w:rPr>
        <w:t xml:space="preserve">; Distribución de Cemento </w:t>
      </w:r>
      <w:r w:rsidR="00AC5873">
        <w:rPr>
          <w:lang w:val="es-MX"/>
        </w:rPr>
        <w:t>(</w:t>
      </w:r>
      <w:r>
        <w:rPr>
          <w:lang w:val="es-MX"/>
        </w:rPr>
        <w:t>6.6%</w:t>
      </w:r>
      <w:r w:rsidR="00AC5873">
        <w:rPr>
          <w:lang w:val="es-MX"/>
        </w:rPr>
        <w:t>)</w:t>
      </w:r>
      <w:r>
        <w:rPr>
          <w:lang w:val="es-MX"/>
        </w:rPr>
        <w:t xml:space="preserve">; e </w:t>
      </w:r>
      <w:r w:rsidRPr="00A0139A">
        <w:rPr>
          <w:lang w:val="es-MX"/>
        </w:rPr>
        <w:t>Impuesto de Solidaridad</w:t>
      </w:r>
      <w:r>
        <w:rPr>
          <w:lang w:val="es-MX"/>
        </w:rPr>
        <w:t xml:space="preserve"> </w:t>
      </w:r>
      <w:r w:rsidR="00AC5873">
        <w:rPr>
          <w:lang w:val="es-MX"/>
        </w:rPr>
        <w:t>(</w:t>
      </w:r>
      <w:r>
        <w:rPr>
          <w:lang w:val="es-MX"/>
        </w:rPr>
        <w:t>2.6%</w:t>
      </w:r>
      <w:r w:rsidR="00AC5873">
        <w:rPr>
          <w:lang w:val="es-MX"/>
        </w:rPr>
        <w:t>)</w:t>
      </w:r>
      <w:r w:rsidRPr="00A0139A">
        <w:rPr>
          <w:lang w:val="es-MX"/>
        </w:rPr>
        <w:t>.</w:t>
      </w:r>
    </w:p>
    <w:p w:rsidR="003E15D6" w:rsidRDefault="003E15D6" w:rsidP="003E15D6">
      <w:pPr>
        <w:jc w:val="both"/>
        <w:rPr>
          <w:lang w:val="es-MX"/>
        </w:rPr>
      </w:pPr>
      <w:r w:rsidRPr="00A0139A">
        <w:rPr>
          <w:lang w:val="es-MX"/>
        </w:rPr>
        <w:t xml:space="preserve"> </w:t>
      </w:r>
    </w:p>
    <w:p w:rsidR="003E15D6" w:rsidRDefault="003E15D6" w:rsidP="003E15D6">
      <w:pPr>
        <w:jc w:val="both"/>
        <w:rPr>
          <w:lang w:val="es-MX"/>
        </w:rPr>
      </w:pPr>
      <w:r>
        <w:rPr>
          <w:lang w:val="es-MX"/>
        </w:rPr>
        <w:t>P</w:t>
      </w:r>
      <w:r w:rsidRPr="00A352F0">
        <w:rPr>
          <w:lang w:val="es-MX"/>
        </w:rPr>
        <w:t xml:space="preserve">ara </w:t>
      </w:r>
      <w:r>
        <w:rPr>
          <w:lang w:val="es-MX"/>
        </w:rPr>
        <w:t xml:space="preserve">el caso de </w:t>
      </w:r>
      <w:r w:rsidRPr="00A352F0">
        <w:rPr>
          <w:lang w:val="es-MX"/>
        </w:rPr>
        <w:t>los impuestos al comercio exterior</w:t>
      </w:r>
      <w:r>
        <w:rPr>
          <w:lang w:val="es-MX"/>
        </w:rPr>
        <w:t xml:space="preserve">, estos </w:t>
      </w:r>
      <w:r w:rsidRPr="00A0139A">
        <w:rPr>
          <w:lang w:val="es-MX"/>
        </w:rPr>
        <w:t xml:space="preserve">aumentaron </w:t>
      </w:r>
      <w:r>
        <w:rPr>
          <w:lang w:val="es-MX"/>
        </w:rPr>
        <w:t>un 5.7</w:t>
      </w:r>
      <w:r w:rsidRPr="00A0139A">
        <w:rPr>
          <w:lang w:val="es-MX"/>
        </w:rPr>
        <w:t>%</w:t>
      </w:r>
      <w:r w:rsidR="00AC5873">
        <w:rPr>
          <w:lang w:val="es-MX"/>
        </w:rPr>
        <w:t>;</w:t>
      </w:r>
      <w:r>
        <w:rPr>
          <w:lang w:val="es-MX"/>
        </w:rPr>
        <w:t xml:space="preserve"> en particular </w:t>
      </w:r>
      <w:r w:rsidRPr="00A0139A">
        <w:rPr>
          <w:lang w:val="es-MX"/>
        </w:rPr>
        <w:t xml:space="preserve">el Impuesto al Valor Agregado </w:t>
      </w:r>
      <w:r>
        <w:rPr>
          <w:lang w:val="es-MX"/>
        </w:rPr>
        <w:t xml:space="preserve">Importaciones mostró un crecimiento de 5.8%; mientras que los Derechos Arancelarios </w:t>
      </w:r>
      <w:r w:rsidR="00AC5873">
        <w:rPr>
          <w:lang w:val="es-MX"/>
        </w:rPr>
        <w:t>a la</w:t>
      </w:r>
      <w:r>
        <w:rPr>
          <w:lang w:val="es-MX"/>
        </w:rPr>
        <w:t xml:space="preserve"> Importación, crecieron en el orden de 5.3%.</w:t>
      </w:r>
    </w:p>
    <w:p w:rsidR="003E15D6" w:rsidRDefault="003E15D6" w:rsidP="003E15D6">
      <w:pPr>
        <w:jc w:val="both"/>
        <w:rPr>
          <w:rFonts w:eastAsia="Calibri"/>
          <w:lang w:val="es-GT" w:eastAsia="es-GT"/>
        </w:rPr>
      </w:pPr>
      <w:r>
        <w:rPr>
          <w:rFonts w:eastAsia="Calibri"/>
          <w:lang w:val="es-GT" w:eastAsia="es-GT"/>
        </w:rPr>
        <w:br w:type="page"/>
      </w:r>
    </w:p>
    <w:p w:rsidR="003E15D6" w:rsidRDefault="003E15D6" w:rsidP="003E15D6">
      <w:pPr>
        <w:rPr>
          <w:b/>
        </w:rPr>
      </w:pPr>
    </w:p>
    <w:p w:rsidR="00D01337" w:rsidRDefault="00D01337" w:rsidP="003E15D6">
      <w:pPr>
        <w:rPr>
          <w:b/>
        </w:rPr>
      </w:pPr>
    </w:p>
    <w:p w:rsidR="003E15D6" w:rsidRPr="00124AD6" w:rsidRDefault="003E15D6" w:rsidP="003E15D6">
      <w:pPr>
        <w:jc w:val="center"/>
        <w:rPr>
          <w:b/>
        </w:rPr>
      </w:pPr>
      <w:r w:rsidRPr="00124AD6">
        <w:rPr>
          <w:b/>
        </w:rPr>
        <w:t xml:space="preserve">Cuadro </w:t>
      </w:r>
      <w:r>
        <w:rPr>
          <w:b/>
        </w:rPr>
        <w:t>3</w:t>
      </w:r>
    </w:p>
    <w:p w:rsidR="003E15D6" w:rsidRPr="00124AD6" w:rsidRDefault="003E15D6" w:rsidP="003E15D6">
      <w:pPr>
        <w:tabs>
          <w:tab w:val="left" w:pos="426"/>
        </w:tabs>
        <w:jc w:val="center"/>
        <w:rPr>
          <w:b/>
        </w:rPr>
      </w:pPr>
      <w:r w:rsidRPr="00124AD6">
        <w:rPr>
          <w:b/>
        </w:rPr>
        <w:t>Ingresos Tributarios Netos de la Administración Central</w:t>
      </w:r>
    </w:p>
    <w:p w:rsidR="003E15D6" w:rsidRPr="00124AD6" w:rsidRDefault="003E15D6" w:rsidP="003E15D6">
      <w:pPr>
        <w:tabs>
          <w:tab w:val="left" w:pos="426"/>
        </w:tabs>
        <w:jc w:val="center"/>
        <w:rPr>
          <w:b/>
        </w:rPr>
      </w:pPr>
      <w:r w:rsidRPr="00124AD6">
        <w:rPr>
          <w:b/>
        </w:rPr>
        <w:t>Ejercicios Fiscales 201</w:t>
      </w:r>
      <w:r>
        <w:rPr>
          <w:b/>
        </w:rPr>
        <w:t>8</w:t>
      </w:r>
      <w:r w:rsidRPr="00124AD6">
        <w:rPr>
          <w:b/>
        </w:rPr>
        <w:t xml:space="preserve"> </w:t>
      </w:r>
      <w:r>
        <w:rPr>
          <w:b/>
        </w:rPr>
        <w:t>–</w:t>
      </w:r>
      <w:r w:rsidRPr="00124AD6">
        <w:rPr>
          <w:b/>
        </w:rPr>
        <w:t xml:space="preserve"> 201</w:t>
      </w:r>
      <w:r>
        <w:rPr>
          <w:b/>
        </w:rPr>
        <w:t>9*</w:t>
      </w:r>
    </w:p>
    <w:p w:rsidR="003E15D6" w:rsidRDefault="003E15D6" w:rsidP="003E15D6">
      <w:pPr>
        <w:tabs>
          <w:tab w:val="left" w:pos="426"/>
        </w:tabs>
        <w:jc w:val="center"/>
        <w:rPr>
          <w:b/>
        </w:rPr>
      </w:pPr>
      <w:r w:rsidRPr="00124AD6">
        <w:rPr>
          <w:b/>
        </w:rPr>
        <w:t>(Millones de Quetzales y Porcentajes)</w:t>
      </w:r>
    </w:p>
    <w:p w:rsidR="003E15D6" w:rsidRPr="00D01337" w:rsidRDefault="003E15D6" w:rsidP="003E15D6">
      <w:pPr>
        <w:tabs>
          <w:tab w:val="left" w:pos="426"/>
        </w:tabs>
        <w:jc w:val="center"/>
        <w:rPr>
          <w:b/>
          <w:sz w:val="16"/>
        </w:rPr>
      </w:pPr>
    </w:p>
    <w:tbl>
      <w:tblPr>
        <w:tblW w:w="9416" w:type="dxa"/>
        <w:jc w:val="center"/>
        <w:tblCellMar>
          <w:left w:w="70" w:type="dxa"/>
          <w:right w:w="70" w:type="dxa"/>
        </w:tblCellMar>
        <w:tblLook w:val="04A0" w:firstRow="1" w:lastRow="0" w:firstColumn="1" w:lastColumn="0" w:noHBand="0" w:noVBand="1"/>
      </w:tblPr>
      <w:tblGrid>
        <w:gridCol w:w="4954"/>
        <w:gridCol w:w="1052"/>
        <w:gridCol w:w="1052"/>
        <w:gridCol w:w="1052"/>
        <w:gridCol w:w="1306"/>
      </w:tblGrid>
      <w:tr w:rsidR="003E15D6" w:rsidRPr="00EF1178" w:rsidTr="003E15D6">
        <w:trPr>
          <w:trHeight w:val="310"/>
          <w:jc w:val="center"/>
        </w:trPr>
        <w:tc>
          <w:tcPr>
            <w:tcW w:w="4954" w:type="dxa"/>
            <w:vMerge w:val="restart"/>
            <w:tcBorders>
              <w:top w:val="single" w:sz="8" w:space="0" w:color="auto"/>
              <w:left w:val="nil"/>
              <w:bottom w:val="single" w:sz="8" w:space="0" w:color="000000"/>
              <w:right w:val="single" w:sz="8" w:space="0" w:color="auto"/>
            </w:tcBorders>
            <w:shd w:val="clear" w:color="000000" w:fill="1F497D"/>
            <w:vAlign w:val="center"/>
            <w:hideMark/>
          </w:tcPr>
          <w:p w:rsidR="003E15D6" w:rsidRPr="00EF1178" w:rsidRDefault="003E15D6" w:rsidP="003E15D6">
            <w:pPr>
              <w:jc w:val="center"/>
              <w:rPr>
                <w:b/>
                <w:bCs/>
                <w:color w:val="FFFFFF"/>
                <w:sz w:val="22"/>
                <w:szCs w:val="22"/>
                <w:lang w:val="es-GT" w:eastAsia="es-GT"/>
              </w:rPr>
            </w:pPr>
            <w:r w:rsidRPr="00EF1178">
              <w:rPr>
                <w:b/>
                <w:bCs/>
                <w:color w:val="FFFFFF"/>
                <w:sz w:val="22"/>
                <w:szCs w:val="22"/>
                <w:lang w:val="es-GT" w:eastAsia="es-GT"/>
              </w:rPr>
              <w:t>Concepto</w:t>
            </w:r>
          </w:p>
        </w:tc>
        <w:tc>
          <w:tcPr>
            <w:tcW w:w="1052" w:type="dxa"/>
            <w:vMerge w:val="restart"/>
            <w:tcBorders>
              <w:top w:val="single" w:sz="8" w:space="0" w:color="auto"/>
              <w:left w:val="single" w:sz="8" w:space="0" w:color="auto"/>
              <w:bottom w:val="single" w:sz="8" w:space="0" w:color="000000"/>
              <w:right w:val="single" w:sz="8" w:space="0" w:color="auto"/>
            </w:tcBorders>
            <w:shd w:val="clear" w:color="000000" w:fill="1F497D"/>
            <w:vAlign w:val="center"/>
            <w:hideMark/>
          </w:tcPr>
          <w:p w:rsidR="003E15D6" w:rsidRPr="00EF1178" w:rsidRDefault="003E15D6" w:rsidP="003E15D6">
            <w:pPr>
              <w:jc w:val="center"/>
              <w:rPr>
                <w:b/>
                <w:bCs/>
                <w:color w:val="FFFFFF"/>
                <w:sz w:val="22"/>
                <w:szCs w:val="22"/>
                <w:lang w:val="es-GT" w:eastAsia="es-GT"/>
              </w:rPr>
            </w:pPr>
            <w:r w:rsidRPr="00EF1178">
              <w:rPr>
                <w:b/>
                <w:bCs/>
                <w:color w:val="FFFFFF"/>
                <w:sz w:val="22"/>
                <w:szCs w:val="22"/>
                <w:lang w:val="es-GT" w:eastAsia="es-GT"/>
              </w:rPr>
              <w:t>2018</w:t>
            </w:r>
          </w:p>
        </w:tc>
        <w:tc>
          <w:tcPr>
            <w:tcW w:w="1052" w:type="dxa"/>
            <w:vMerge w:val="restart"/>
            <w:tcBorders>
              <w:top w:val="single" w:sz="8" w:space="0" w:color="auto"/>
              <w:left w:val="single" w:sz="8" w:space="0" w:color="auto"/>
              <w:bottom w:val="single" w:sz="8" w:space="0" w:color="000000"/>
              <w:right w:val="single" w:sz="8" w:space="0" w:color="auto"/>
            </w:tcBorders>
            <w:shd w:val="clear" w:color="000000" w:fill="1F497D"/>
            <w:vAlign w:val="center"/>
            <w:hideMark/>
          </w:tcPr>
          <w:p w:rsidR="003E15D6" w:rsidRPr="00EF1178" w:rsidRDefault="003E15D6" w:rsidP="003E15D6">
            <w:pPr>
              <w:jc w:val="center"/>
              <w:rPr>
                <w:b/>
                <w:bCs/>
                <w:color w:val="FFFFFF"/>
                <w:sz w:val="22"/>
                <w:szCs w:val="22"/>
                <w:lang w:val="es-GT" w:eastAsia="es-GT"/>
              </w:rPr>
            </w:pPr>
            <w:r w:rsidRPr="00EF1178">
              <w:rPr>
                <w:b/>
                <w:bCs/>
                <w:color w:val="FFFFFF"/>
                <w:sz w:val="22"/>
                <w:szCs w:val="22"/>
                <w:lang w:val="es-GT" w:eastAsia="es-GT"/>
              </w:rPr>
              <w:t>2019</w:t>
            </w:r>
            <w:r w:rsidR="00AC5873">
              <w:rPr>
                <w:b/>
                <w:bCs/>
                <w:color w:val="FFFFFF"/>
                <w:sz w:val="22"/>
                <w:szCs w:val="22"/>
                <w:lang w:val="es-GT" w:eastAsia="es-GT"/>
              </w:rPr>
              <w:t>*</w:t>
            </w:r>
          </w:p>
        </w:tc>
        <w:tc>
          <w:tcPr>
            <w:tcW w:w="2358" w:type="dxa"/>
            <w:gridSpan w:val="2"/>
            <w:tcBorders>
              <w:top w:val="single" w:sz="8" w:space="0" w:color="auto"/>
              <w:left w:val="nil"/>
              <w:bottom w:val="single" w:sz="8" w:space="0" w:color="auto"/>
              <w:right w:val="nil"/>
            </w:tcBorders>
            <w:shd w:val="clear" w:color="000000" w:fill="1F497D"/>
            <w:hideMark/>
          </w:tcPr>
          <w:p w:rsidR="003E15D6" w:rsidRPr="00EF1178" w:rsidRDefault="003E15D6" w:rsidP="003E15D6">
            <w:pPr>
              <w:jc w:val="center"/>
              <w:rPr>
                <w:b/>
                <w:bCs/>
                <w:color w:val="FFFFFF"/>
                <w:sz w:val="22"/>
                <w:szCs w:val="22"/>
                <w:lang w:val="es-GT" w:eastAsia="es-GT"/>
              </w:rPr>
            </w:pPr>
            <w:r w:rsidRPr="00EF1178">
              <w:rPr>
                <w:b/>
                <w:bCs/>
                <w:color w:val="FFFFFF"/>
                <w:sz w:val="22"/>
                <w:szCs w:val="22"/>
                <w:lang w:val="es-GT" w:eastAsia="es-GT"/>
              </w:rPr>
              <w:t>Diferencia</w:t>
            </w:r>
          </w:p>
        </w:tc>
      </w:tr>
      <w:tr w:rsidR="003E15D6" w:rsidRPr="00EF1178" w:rsidTr="003E15D6">
        <w:trPr>
          <w:trHeight w:val="310"/>
          <w:jc w:val="center"/>
        </w:trPr>
        <w:tc>
          <w:tcPr>
            <w:tcW w:w="4954" w:type="dxa"/>
            <w:vMerge/>
            <w:tcBorders>
              <w:top w:val="single" w:sz="8" w:space="0" w:color="auto"/>
              <w:left w:val="nil"/>
              <w:bottom w:val="single" w:sz="8" w:space="0" w:color="000000"/>
              <w:right w:val="single" w:sz="8" w:space="0" w:color="auto"/>
            </w:tcBorders>
            <w:vAlign w:val="center"/>
            <w:hideMark/>
          </w:tcPr>
          <w:p w:rsidR="003E15D6" w:rsidRPr="00EF1178" w:rsidRDefault="003E15D6" w:rsidP="003E15D6">
            <w:pPr>
              <w:rPr>
                <w:b/>
                <w:bCs/>
                <w:color w:val="FFFFFF"/>
                <w:sz w:val="22"/>
                <w:szCs w:val="22"/>
                <w:lang w:val="es-GT" w:eastAsia="es-GT"/>
              </w:rPr>
            </w:pPr>
          </w:p>
        </w:tc>
        <w:tc>
          <w:tcPr>
            <w:tcW w:w="1052" w:type="dxa"/>
            <w:vMerge/>
            <w:tcBorders>
              <w:top w:val="single" w:sz="8" w:space="0" w:color="auto"/>
              <w:left w:val="single" w:sz="8" w:space="0" w:color="auto"/>
              <w:bottom w:val="single" w:sz="8" w:space="0" w:color="000000"/>
              <w:right w:val="single" w:sz="8" w:space="0" w:color="auto"/>
            </w:tcBorders>
            <w:vAlign w:val="center"/>
            <w:hideMark/>
          </w:tcPr>
          <w:p w:rsidR="003E15D6" w:rsidRPr="00EF1178" w:rsidRDefault="003E15D6" w:rsidP="003E15D6">
            <w:pPr>
              <w:rPr>
                <w:b/>
                <w:bCs/>
                <w:color w:val="FFFFFF"/>
                <w:sz w:val="22"/>
                <w:szCs w:val="22"/>
                <w:lang w:val="es-GT" w:eastAsia="es-GT"/>
              </w:rPr>
            </w:pPr>
          </w:p>
        </w:tc>
        <w:tc>
          <w:tcPr>
            <w:tcW w:w="1052" w:type="dxa"/>
            <w:vMerge/>
            <w:tcBorders>
              <w:top w:val="single" w:sz="8" w:space="0" w:color="auto"/>
              <w:left w:val="single" w:sz="8" w:space="0" w:color="auto"/>
              <w:bottom w:val="single" w:sz="8" w:space="0" w:color="000000"/>
              <w:right w:val="single" w:sz="8" w:space="0" w:color="auto"/>
            </w:tcBorders>
            <w:vAlign w:val="center"/>
            <w:hideMark/>
          </w:tcPr>
          <w:p w:rsidR="003E15D6" w:rsidRPr="00EF1178" w:rsidRDefault="003E15D6" w:rsidP="003E15D6">
            <w:pPr>
              <w:rPr>
                <w:b/>
                <w:bCs/>
                <w:color w:val="FFFFFF"/>
                <w:sz w:val="22"/>
                <w:szCs w:val="22"/>
                <w:lang w:val="es-GT" w:eastAsia="es-GT"/>
              </w:rPr>
            </w:pPr>
          </w:p>
        </w:tc>
        <w:tc>
          <w:tcPr>
            <w:tcW w:w="1052" w:type="dxa"/>
            <w:tcBorders>
              <w:top w:val="nil"/>
              <w:left w:val="nil"/>
              <w:bottom w:val="single" w:sz="8" w:space="0" w:color="auto"/>
              <w:right w:val="single" w:sz="8" w:space="0" w:color="auto"/>
            </w:tcBorders>
            <w:shd w:val="clear" w:color="000000" w:fill="1F497D"/>
            <w:vAlign w:val="center"/>
            <w:hideMark/>
          </w:tcPr>
          <w:p w:rsidR="003E15D6" w:rsidRPr="00EF1178" w:rsidRDefault="003E15D6" w:rsidP="003E15D6">
            <w:pPr>
              <w:jc w:val="center"/>
              <w:rPr>
                <w:b/>
                <w:bCs/>
                <w:color w:val="FFFFFF"/>
                <w:sz w:val="22"/>
                <w:szCs w:val="22"/>
                <w:lang w:val="es-GT" w:eastAsia="es-GT"/>
              </w:rPr>
            </w:pPr>
            <w:r w:rsidRPr="00EF1178">
              <w:rPr>
                <w:b/>
                <w:bCs/>
                <w:color w:val="FFFFFF"/>
                <w:sz w:val="22"/>
                <w:szCs w:val="22"/>
                <w:lang w:val="es-GT" w:eastAsia="es-GT"/>
              </w:rPr>
              <w:t>Absoluta</w:t>
            </w:r>
          </w:p>
        </w:tc>
        <w:tc>
          <w:tcPr>
            <w:tcW w:w="1306" w:type="dxa"/>
            <w:tcBorders>
              <w:top w:val="nil"/>
              <w:left w:val="nil"/>
              <w:bottom w:val="single" w:sz="8" w:space="0" w:color="auto"/>
              <w:right w:val="nil"/>
            </w:tcBorders>
            <w:shd w:val="clear" w:color="000000" w:fill="1F497D"/>
            <w:vAlign w:val="center"/>
            <w:hideMark/>
          </w:tcPr>
          <w:p w:rsidR="003E15D6" w:rsidRPr="00EF1178" w:rsidRDefault="003E15D6" w:rsidP="003E15D6">
            <w:pPr>
              <w:jc w:val="center"/>
              <w:rPr>
                <w:b/>
                <w:bCs/>
                <w:color w:val="FFFFFF"/>
                <w:sz w:val="22"/>
                <w:szCs w:val="22"/>
                <w:lang w:val="es-GT" w:eastAsia="es-GT"/>
              </w:rPr>
            </w:pPr>
            <w:r w:rsidRPr="00EF1178">
              <w:rPr>
                <w:b/>
                <w:bCs/>
                <w:color w:val="FFFFFF"/>
                <w:sz w:val="22"/>
                <w:szCs w:val="22"/>
                <w:lang w:val="es-GT" w:eastAsia="es-GT"/>
              </w:rPr>
              <w:t>Relativa</w:t>
            </w:r>
          </w:p>
        </w:tc>
      </w:tr>
      <w:tr w:rsidR="003E15D6" w:rsidRPr="00EF1178" w:rsidTr="003E15D6">
        <w:trPr>
          <w:trHeight w:val="634"/>
          <w:jc w:val="center"/>
        </w:trPr>
        <w:tc>
          <w:tcPr>
            <w:tcW w:w="4954" w:type="dxa"/>
            <w:tcBorders>
              <w:top w:val="nil"/>
              <w:left w:val="nil"/>
              <w:bottom w:val="single" w:sz="8" w:space="0" w:color="auto"/>
              <w:right w:val="single" w:sz="8" w:space="0" w:color="auto"/>
            </w:tcBorders>
            <w:shd w:val="clear" w:color="000000" w:fill="1F497D"/>
            <w:vAlign w:val="center"/>
            <w:hideMark/>
          </w:tcPr>
          <w:p w:rsidR="003E15D6" w:rsidRPr="00EF1178" w:rsidRDefault="003E15D6" w:rsidP="00006BC5">
            <w:pPr>
              <w:rPr>
                <w:b/>
                <w:bCs/>
                <w:color w:val="FFFFFF"/>
                <w:sz w:val="22"/>
                <w:szCs w:val="22"/>
                <w:lang w:val="es-GT" w:eastAsia="es-GT"/>
              </w:rPr>
            </w:pPr>
            <w:r w:rsidRPr="00EF1178">
              <w:rPr>
                <w:b/>
                <w:bCs/>
                <w:color w:val="FFFFFF"/>
                <w:sz w:val="22"/>
                <w:szCs w:val="22"/>
                <w:lang w:val="es-GT" w:eastAsia="es-GT"/>
              </w:rPr>
              <w:t>IMPUESTOS ASOCIADOS AL COMERCIO EXTERIOR</w:t>
            </w:r>
          </w:p>
        </w:tc>
        <w:tc>
          <w:tcPr>
            <w:tcW w:w="1052" w:type="dxa"/>
            <w:tcBorders>
              <w:top w:val="nil"/>
              <w:left w:val="nil"/>
              <w:bottom w:val="single" w:sz="8" w:space="0" w:color="auto"/>
              <w:right w:val="single" w:sz="8" w:space="0" w:color="auto"/>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17,044.9</w:t>
            </w:r>
          </w:p>
        </w:tc>
        <w:tc>
          <w:tcPr>
            <w:tcW w:w="1052" w:type="dxa"/>
            <w:tcBorders>
              <w:top w:val="nil"/>
              <w:left w:val="nil"/>
              <w:bottom w:val="single" w:sz="8" w:space="0" w:color="auto"/>
              <w:right w:val="single" w:sz="8" w:space="0" w:color="auto"/>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18,020.4</w:t>
            </w:r>
          </w:p>
        </w:tc>
        <w:tc>
          <w:tcPr>
            <w:tcW w:w="1052" w:type="dxa"/>
            <w:tcBorders>
              <w:top w:val="nil"/>
              <w:left w:val="nil"/>
              <w:bottom w:val="single" w:sz="8" w:space="0" w:color="auto"/>
              <w:right w:val="single" w:sz="8" w:space="0" w:color="auto"/>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975.5</w:t>
            </w:r>
          </w:p>
        </w:tc>
        <w:tc>
          <w:tcPr>
            <w:tcW w:w="1306" w:type="dxa"/>
            <w:tcBorders>
              <w:top w:val="nil"/>
              <w:left w:val="nil"/>
              <w:bottom w:val="single" w:sz="8" w:space="0" w:color="auto"/>
              <w:right w:val="nil"/>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5.7%</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Impuesto al Valor Agregado de Importaciones</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14,469.1</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15,308.9</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839.8</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5.8%</w:t>
            </w:r>
          </w:p>
        </w:tc>
      </w:tr>
      <w:tr w:rsidR="003E15D6" w:rsidRPr="00EF1178" w:rsidTr="003E15D6">
        <w:trPr>
          <w:trHeight w:val="310"/>
          <w:jc w:val="center"/>
        </w:trPr>
        <w:tc>
          <w:tcPr>
            <w:tcW w:w="4954" w:type="dxa"/>
            <w:tcBorders>
              <w:top w:val="nil"/>
              <w:left w:val="nil"/>
              <w:bottom w:val="single" w:sz="8" w:space="0" w:color="auto"/>
              <w:right w:val="nil"/>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Derechos Arancelarios a la Importación</w:t>
            </w:r>
          </w:p>
        </w:tc>
        <w:tc>
          <w:tcPr>
            <w:tcW w:w="1052" w:type="dxa"/>
            <w:tcBorders>
              <w:top w:val="nil"/>
              <w:left w:val="single" w:sz="8" w:space="0" w:color="auto"/>
              <w:bottom w:val="single" w:sz="8" w:space="0" w:color="auto"/>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2,575.8</w:t>
            </w:r>
          </w:p>
        </w:tc>
        <w:tc>
          <w:tcPr>
            <w:tcW w:w="1052" w:type="dxa"/>
            <w:tcBorders>
              <w:top w:val="nil"/>
              <w:left w:val="nil"/>
              <w:bottom w:val="single" w:sz="8" w:space="0" w:color="auto"/>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2,711.5</w:t>
            </w:r>
          </w:p>
        </w:tc>
        <w:tc>
          <w:tcPr>
            <w:tcW w:w="1052" w:type="dxa"/>
            <w:tcBorders>
              <w:top w:val="nil"/>
              <w:left w:val="nil"/>
              <w:bottom w:val="single" w:sz="8" w:space="0" w:color="auto"/>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135.7</w:t>
            </w:r>
          </w:p>
        </w:tc>
        <w:tc>
          <w:tcPr>
            <w:tcW w:w="1306" w:type="dxa"/>
            <w:tcBorders>
              <w:top w:val="nil"/>
              <w:left w:val="nil"/>
              <w:bottom w:val="single" w:sz="8" w:space="0" w:color="auto"/>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5.3%</w:t>
            </w:r>
          </w:p>
        </w:tc>
      </w:tr>
      <w:tr w:rsidR="003E15D6" w:rsidRPr="00EF1178" w:rsidTr="003E15D6">
        <w:trPr>
          <w:trHeight w:val="310"/>
          <w:jc w:val="center"/>
        </w:trPr>
        <w:tc>
          <w:tcPr>
            <w:tcW w:w="4954" w:type="dxa"/>
            <w:tcBorders>
              <w:top w:val="nil"/>
              <w:left w:val="nil"/>
              <w:bottom w:val="single" w:sz="8" w:space="0" w:color="auto"/>
              <w:right w:val="single" w:sz="8" w:space="0" w:color="auto"/>
            </w:tcBorders>
            <w:shd w:val="clear" w:color="000000" w:fill="1F497D"/>
            <w:vAlign w:val="center"/>
            <w:hideMark/>
          </w:tcPr>
          <w:p w:rsidR="003E15D6" w:rsidRPr="00EF1178" w:rsidRDefault="003E15D6" w:rsidP="003E15D6">
            <w:pPr>
              <w:ind w:firstLineChars="100" w:firstLine="221"/>
              <w:rPr>
                <w:b/>
                <w:bCs/>
                <w:color w:val="FFFFFF"/>
                <w:sz w:val="22"/>
                <w:szCs w:val="22"/>
                <w:lang w:val="es-GT" w:eastAsia="es-GT"/>
              </w:rPr>
            </w:pPr>
            <w:r w:rsidRPr="00EF1178">
              <w:rPr>
                <w:b/>
                <w:bCs/>
                <w:color w:val="FFFFFF"/>
                <w:sz w:val="22"/>
                <w:szCs w:val="22"/>
                <w:lang w:val="es-GT" w:eastAsia="es-GT"/>
              </w:rPr>
              <w:t>IMPUESTOS INTERNOS</w:t>
            </w:r>
          </w:p>
        </w:tc>
        <w:tc>
          <w:tcPr>
            <w:tcW w:w="1052" w:type="dxa"/>
            <w:tcBorders>
              <w:top w:val="single" w:sz="8" w:space="0" w:color="auto"/>
              <w:left w:val="nil"/>
              <w:bottom w:val="single" w:sz="8" w:space="0" w:color="auto"/>
              <w:right w:val="single" w:sz="8" w:space="0" w:color="auto"/>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41,790.7</w:t>
            </w:r>
          </w:p>
        </w:tc>
        <w:tc>
          <w:tcPr>
            <w:tcW w:w="1052" w:type="dxa"/>
            <w:tcBorders>
              <w:top w:val="single" w:sz="8" w:space="0" w:color="auto"/>
              <w:left w:val="nil"/>
              <w:bottom w:val="single" w:sz="8" w:space="0" w:color="auto"/>
              <w:right w:val="single" w:sz="8" w:space="0" w:color="auto"/>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44,573.2</w:t>
            </w:r>
          </w:p>
        </w:tc>
        <w:tc>
          <w:tcPr>
            <w:tcW w:w="1052" w:type="dxa"/>
            <w:tcBorders>
              <w:top w:val="nil"/>
              <w:left w:val="nil"/>
              <w:bottom w:val="single" w:sz="8" w:space="0" w:color="auto"/>
              <w:right w:val="single" w:sz="8" w:space="0" w:color="auto"/>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2,782.5</w:t>
            </w:r>
          </w:p>
        </w:tc>
        <w:tc>
          <w:tcPr>
            <w:tcW w:w="1306" w:type="dxa"/>
            <w:tcBorders>
              <w:top w:val="nil"/>
              <w:left w:val="nil"/>
              <w:bottom w:val="single" w:sz="8" w:space="0" w:color="auto"/>
              <w:right w:val="nil"/>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6.7%</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Sobre la Renta</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16,236.3</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17,098.6</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862.3</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5.3%</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Sobre Inmuebles y Otros sobre el Patrimonio</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28.1</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42.2</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14.1</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50.1%</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A las Empresas Mercantiles y Agropecuarias</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0.2</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2.1</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2.0</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1297.6%</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Extraordinario y Temporal de Apoyo a los Acuerdos de Paz</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10.3</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63.1</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52.9</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515.7%</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 xml:space="preserve">Impuesto de Solidaridad </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4,645.9</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4,766.0</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120.1</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2.6%</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Impuesto al Valor Agregado Doméstico</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13,263.4</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14,611.2</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1,347.7</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10.2%</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Distribución de Petróleo y sus Derivados</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3,417.4</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3,743.4</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326.1</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9.5%</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Timbres Fiscales</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463.0</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451.5</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-11.5</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-2.5%</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Circulación de Vehículos</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881.2</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909.3</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28.2</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3.2%</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Impuesto a la Primera Matrícula</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952.7</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998.8</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46.1</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4.8%</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006BC5">
            <w:pPr>
              <w:rPr>
                <w:sz w:val="22"/>
                <w:szCs w:val="22"/>
                <w:lang w:val="es-GT" w:eastAsia="es-GT"/>
              </w:rPr>
            </w:pPr>
            <w:r w:rsidRPr="00EF1178">
              <w:rPr>
                <w:sz w:val="22"/>
                <w:szCs w:val="22"/>
                <w:lang w:val="es-GT" w:eastAsia="es-GT"/>
              </w:rPr>
              <w:t xml:space="preserve">Regalías e Hidrocarburos </w:t>
            </w:r>
            <w:r w:rsidR="00006BC5">
              <w:rPr>
                <w:sz w:val="22"/>
                <w:szCs w:val="22"/>
                <w:lang w:val="es-GT" w:eastAsia="es-GT"/>
              </w:rPr>
              <w:t>C</w:t>
            </w:r>
            <w:r w:rsidRPr="00EF1178">
              <w:rPr>
                <w:sz w:val="22"/>
                <w:szCs w:val="22"/>
                <w:lang w:val="es-GT" w:eastAsia="es-GT"/>
              </w:rPr>
              <w:t>ompartibles</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322.8</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178.2</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-144.7</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-44.8%</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Salidas del País</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312.0</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338.1</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26.1</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8.4%</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Distribución de Bebidas</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790.3</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869.6</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79.3</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10.0%</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Tabacos</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337.1</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362.5</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25.4</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7.5%</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Distribución de Cemento</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123.3</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131.4</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8.1</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6.6%</w:t>
            </w:r>
          </w:p>
        </w:tc>
      </w:tr>
      <w:tr w:rsidR="003E15D6" w:rsidRPr="00EF1178" w:rsidTr="003E15D6">
        <w:trPr>
          <w:trHeight w:val="310"/>
          <w:jc w:val="center"/>
        </w:trPr>
        <w:tc>
          <w:tcPr>
            <w:tcW w:w="4954" w:type="dxa"/>
            <w:tcBorders>
              <w:top w:val="nil"/>
              <w:left w:val="nil"/>
              <w:bottom w:val="nil"/>
              <w:right w:val="single" w:sz="8" w:space="0" w:color="auto"/>
            </w:tcBorders>
            <w:shd w:val="clear" w:color="000000" w:fill="F2F2F2"/>
            <w:vAlign w:val="center"/>
            <w:hideMark/>
          </w:tcPr>
          <w:p w:rsidR="003E15D6" w:rsidRPr="00EF1178" w:rsidRDefault="003E15D6" w:rsidP="003E15D6">
            <w:pPr>
              <w:rPr>
                <w:sz w:val="22"/>
                <w:szCs w:val="22"/>
                <w:lang w:val="es-GT" w:eastAsia="es-GT"/>
              </w:rPr>
            </w:pPr>
            <w:r w:rsidRPr="00EF1178">
              <w:rPr>
                <w:sz w:val="22"/>
                <w:szCs w:val="22"/>
                <w:lang w:val="es-GT" w:eastAsia="es-GT"/>
              </w:rPr>
              <w:t>Otros</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6.7</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7.1</w:t>
            </w:r>
          </w:p>
        </w:tc>
        <w:tc>
          <w:tcPr>
            <w:tcW w:w="1052" w:type="dxa"/>
            <w:tcBorders>
              <w:top w:val="nil"/>
              <w:left w:val="nil"/>
              <w:bottom w:val="nil"/>
              <w:right w:val="single" w:sz="8" w:space="0" w:color="auto"/>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0.4</w:t>
            </w:r>
          </w:p>
        </w:tc>
        <w:tc>
          <w:tcPr>
            <w:tcW w:w="1306" w:type="dxa"/>
            <w:tcBorders>
              <w:top w:val="nil"/>
              <w:left w:val="nil"/>
              <w:bottom w:val="nil"/>
              <w:right w:val="nil"/>
            </w:tcBorders>
            <w:shd w:val="clear" w:color="000000" w:fill="F2F2F2"/>
            <w:vAlign w:val="center"/>
            <w:hideMark/>
          </w:tcPr>
          <w:p w:rsidR="003E15D6" w:rsidRPr="00EF1178" w:rsidRDefault="003E15D6" w:rsidP="003E15D6">
            <w:pPr>
              <w:jc w:val="right"/>
              <w:rPr>
                <w:sz w:val="22"/>
                <w:szCs w:val="22"/>
                <w:lang w:val="es-GT" w:eastAsia="es-GT"/>
              </w:rPr>
            </w:pPr>
            <w:r w:rsidRPr="00EF1178">
              <w:rPr>
                <w:sz w:val="22"/>
                <w:szCs w:val="22"/>
                <w:lang w:val="es-GT" w:eastAsia="es-GT"/>
              </w:rPr>
              <w:t>5.8%</w:t>
            </w:r>
          </w:p>
        </w:tc>
      </w:tr>
      <w:tr w:rsidR="003E15D6" w:rsidRPr="00EF1178" w:rsidTr="003E15D6">
        <w:trPr>
          <w:trHeight w:val="310"/>
          <w:jc w:val="center"/>
        </w:trPr>
        <w:tc>
          <w:tcPr>
            <w:tcW w:w="4954" w:type="dxa"/>
            <w:tcBorders>
              <w:top w:val="single" w:sz="8" w:space="0" w:color="auto"/>
              <w:left w:val="nil"/>
              <w:bottom w:val="single" w:sz="8" w:space="0" w:color="auto"/>
              <w:right w:val="single" w:sz="8" w:space="0" w:color="auto"/>
            </w:tcBorders>
            <w:shd w:val="clear" w:color="000000" w:fill="1F497D"/>
            <w:vAlign w:val="center"/>
            <w:hideMark/>
          </w:tcPr>
          <w:p w:rsidR="003E15D6" w:rsidRPr="00EF1178" w:rsidRDefault="003E15D6" w:rsidP="003E15D6">
            <w:pPr>
              <w:ind w:firstLineChars="100" w:firstLine="221"/>
              <w:rPr>
                <w:b/>
                <w:bCs/>
                <w:color w:val="FFFFFF"/>
                <w:sz w:val="22"/>
                <w:szCs w:val="22"/>
                <w:lang w:val="es-GT" w:eastAsia="es-GT"/>
              </w:rPr>
            </w:pPr>
            <w:r w:rsidRPr="00EF1178">
              <w:rPr>
                <w:b/>
                <w:bCs/>
                <w:color w:val="FFFFFF"/>
                <w:sz w:val="22"/>
                <w:szCs w:val="22"/>
                <w:lang w:val="es-GT" w:eastAsia="es-GT"/>
              </w:rPr>
              <w:t>TOTAL DE INGRESOS TRIBUTARIOS</w:t>
            </w:r>
          </w:p>
        </w:tc>
        <w:tc>
          <w:tcPr>
            <w:tcW w:w="1052" w:type="dxa"/>
            <w:tcBorders>
              <w:top w:val="single" w:sz="8" w:space="0" w:color="auto"/>
              <w:left w:val="nil"/>
              <w:bottom w:val="single" w:sz="8" w:space="0" w:color="auto"/>
              <w:right w:val="single" w:sz="8" w:space="0" w:color="auto"/>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58,835.6</w:t>
            </w:r>
          </w:p>
        </w:tc>
        <w:tc>
          <w:tcPr>
            <w:tcW w:w="1052" w:type="dxa"/>
            <w:tcBorders>
              <w:top w:val="single" w:sz="8" w:space="0" w:color="auto"/>
              <w:left w:val="nil"/>
              <w:bottom w:val="single" w:sz="8" w:space="0" w:color="auto"/>
              <w:right w:val="single" w:sz="8" w:space="0" w:color="auto"/>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62,593.6</w:t>
            </w:r>
          </w:p>
        </w:tc>
        <w:tc>
          <w:tcPr>
            <w:tcW w:w="1052" w:type="dxa"/>
            <w:tcBorders>
              <w:top w:val="single" w:sz="8" w:space="0" w:color="auto"/>
              <w:left w:val="nil"/>
              <w:bottom w:val="single" w:sz="8" w:space="0" w:color="auto"/>
              <w:right w:val="single" w:sz="8" w:space="0" w:color="auto"/>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3,758.0</w:t>
            </w:r>
          </w:p>
        </w:tc>
        <w:tc>
          <w:tcPr>
            <w:tcW w:w="1306" w:type="dxa"/>
            <w:tcBorders>
              <w:top w:val="single" w:sz="8" w:space="0" w:color="auto"/>
              <w:left w:val="nil"/>
              <w:bottom w:val="single" w:sz="8" w:space="0" w:color="auto"/>
              <w:right w:val="nil"/>
            </w:tcBorders>
            <w:shd w:val="clear" w:color="000000" w:fill="1F497D"/>
            <w:vAlign w:val="center"/>
            <w:hideMark/>
          </w:tcPr>
          <w:p w:rsidR="003E15D6" w:rsidRPr="00EF1178" w:rsidRDefault="003E15D6" w:rsidP="003E15D6">
            <w:pPr>
              <w:jc w:val="right"/>
              <w:rPr>
                <w:b/>
                <w:bCs/>
                <w:color w:val="FFFFFF"/>
                <w:sz w:val="22"/>
                <w:szCs w:val="22"/>
                <w:lang w:val="es-GT" w:eastAsia="es-GT"/>
              </w:rPr>
            </w:pPr>
            <w:r w:rsidRPr="00EF1178">
              <w:rPr>
                <w:b/>
                <w:bCs/>
                <w:color w:val="FFFFFF"/>
                <w:sz w:val="22"/>
                <w:szCs w:val="22"/>
                <w:lang w:val="es-GT" w:eastAsia="es-GT"/>
              </w:rPr>
              <w:t>6.4%</w:t>
            </w:r>
          </w:p>
        </w:tc>
      </w:tr>
    </w:tbl>
    <w:p w:rsidR="003E15D6" w:rsidRPr="00F377B1" w:rsidRDefault="003E15D6" w:rsidP="003E15D6">
      <w:pPr>
        <w:tabs>
          <w:tab w:val="left" w:pos="426"/>
        </w:tabs>
        <w:rPr>
          <w:sz w:val="8"/>
        </w:rPr>
      </w:pPr>
    </w:p>
    <w:p w:rsidR="003E15D6" w:rsidRPr="00AC5873" w:rsidRDefault="003F669A" w:rsidP="00AC5873">
      <w:pPr>
        <w:tabs>
          <w:tab w:val="left" w:pos="426"/>
        </w:tabs>
        <w:ind w:left="-142"/>
        <w:rPr>
          <w:sz w:val="18"/>
        </w:rPr>
      </w:pPr>
      <w:r>
        <w:rPr>
          <w:sz w:val="18"/>
        </w:rPr>
        <w:t xml:space="preserve">  </w:t>
      </w:r>
      <w:r w:rsidR="003E15D6" w:rsidRPr="00AC5873">
        <w:rPr>
          <w:sz w:val="18"/>
        </w:rPr>
        <w:t>* Cifras preliminares</w:t>
      </w:r>
    </w:p>
    <w:p w:rsidR="003E15D6" w:rsidRPr="00AC5873" w:rsidRDefault="003F669A" w:rsidP="00AC5873">
      <w:pPr>
        <w:ind w:left="-142"/>
        <w:rPr>
          <w:sz w:val="18"/>
          <w:lang w:val="es-GT"/>
        </w:rPr>
      </w:pPr>
      <w:r>
        <w:rPr>
          <w:sz w:val="18"/>
        </w:rPr>
        <w:t xml:space="preserve">     </w:t>
      </w:r>
      <w:r w:rsidR="003E15D6" w:rsidRPr="00AC5873">
        <w:rPr>
          <w:sz w:val="18"/>
        </w:rPr>
        <w:t>Fuente: Ministerio de Finanzas Públicas.</w:t>
      </w:r>
    </w:p>
    <w:p w:rsidR="003E15D6" w:rsidRDefault="003E15D6" w:rsidP="003E15D6">
      <w:pPr>
        <w:autoSpaceDE w:val="0"/>
        <w:autoSpaceDN w:val="0"/>
        <w:adjustRightInd w:val="0"/>
        <w:jc w:val="both"/>
      </w:pPr>
    </w:p>
    <w:p w:rsidR="003E15D6" w:rsidRDefault="003E15D6" w:rsidP="003E15D6">
      <w:r>
        <w:br w:type="page"/>
      </w:r>
    </w:p>
    <w:p w:rsidR="00D01337" w:rsidRDefault="00D01337" w:rsidP="003E15D6">
      <w:pPr>
        <w:autoSpaceDE w:val="0"/>
        <w:autoSpaceDN w:val="0"/>
        <w:adjustRightInd w:val="0"/>
        <w:jc w:val="both"/>
      </w:pPr>
    </w:p>
    <w:p w:rsidR="003E15D6" w:rsidRPr="00F377B1" w:rsidRDefault="003E15D6" w:rsidP="003E15D6">
      <w:pPr>
        <w:autoSpaceDE w:val="0"/>
        <w:autoSpaceDN w:val="0"/>
        <w:adjustRightInd w:val="0"/>
        <w:jc w:val="both"/>
      </w:pPr>
      <w:r>
        <w:t>Como resultado del monto de recaudación, la</w:t>
      </w:r>
      <w:r w:rsidRPr="00124AD6">
        <w:t xml:space="preserve"> carga tributaria mostr</w:t>
      </w:r>
      <w:r>
        <w:t>ó</w:t>
      </w:r>
      <w:r w:rsidRPr="00124AD6">
        <w:t xml:space="preserve"> una </w:t>
      </w:r>
      <w:r>
        <w:t xml:space="preserve">caída de 0.2% respecto de 2018, </w:t>
      </w:r>
      <w:r w:rsidRPr="00F377B1">
        <w:t>producto de una serie de factores que afectaron el nivel de recaudación</w:t>
      </w:r>
      <w:r>
        <w:t>;</w:t>
      </w:r>
      <w:r w:rsidRPr="00F377B1">
        <w:t xml:space="preserve"> entre estos se destacan: resoluciones de la Corte de Constitucionalidad</w:t>
      </w:r>
      <w:r>
        <w:t>, particularmente en temas mineros;</w:t>
      </w:r>
      <w:r w:rsidRPr="00F377B1">
        <w:t xml:space="preserve"> </w:t>
      </w:r>
      <w:r>
        <w:t xml:space="preserve">la </w:t>
      </w:r>
      <w:r w:rsidRPr="00F377B1">
        <w:t>depreciación de la moneda</w:t>
      </w:r>
      <w:r>
        <w:t xml:space="preserve"> </w:t>
      </w:r>
      <w:r w:rsidRPr="00F377B1">
        <w:t>nacional y aspectos de orden externo como las oscilaciones en el precio internacional del petróleo</w:t>
      </w:r>
      <w:r>
        <w:t xml:space="preserve">, elementos </w:t>
      </w:r>
      <w:r w:rsidRPr="00F377B1">
        <w:t>que vinieron a af</w:t>
      </w:r>
      <w:r>
        <w:t>ectar directamente al indicador</w:t>
      </w:r>
      <w:r w:rsidRPr="00F377B1">
        <w:t xml:space="preserve">. </w:t>
      </w:r>
    </w:p>
    <w:p w:rsidR="003E15D6" w:rsidRPr="00D01337" w:rsidRDefault="003E15D6" w:rsidP="003E15D6">
      <w:pPr>
        <w:jc w:val="both"/>
        <w:rPr>
          <w:rFonts w:eastAsia="Calibri"/>
          <w:sz w:val="32"/>
          <w:lang w:val="es-GT" w:eastAsia="es-GT"/>
        </w:rPr>
      </w:pPr>
    </w:p>
    <w:p w:rsidR="003E15D6" w:rsidRPr="00124AD6" w:rsidRDefault="003E15D6" w:rsidP="003E15D6">
      <w:pPr>
        <w:jc w:val="center"/>
        <w:rPr>
          <w:b/>
          <w:lang w:val="es-GT"/>
        </w:rPr>
      </w:pPr>
      <w:r w:rsidRPr="00124AD6">
        <w:rPr>
          <w:b/>
          <w:lang w:val="es-GT"/>
        </w:rPr>
        <w:t xml:space="preserve">Gráfica </w:t>
      </w:r>
      <w:r>
        <w:rPr>
          <w:b/>
          <w:lang w:val="es-GT"/>
        </w:rPr>
        <w:t>10</w:t>
      </w:r>
    </w:p>
    <w:p w:rsidR="003E15D6" w:rsidRPr="00124AD6" w:rsidRDefault="003E15D6" w:rsidP="003E15D6">
      <w:pPr>
        <w:pStyle w:val="NormalWeb"/>
        <w:spacing w:before="0" w:beforeAutospacing="0" w:after="0" w:afterAutospacing="0"/>
        <w:jc w:val="center"/>
        <w:rPr>
          <w:rFonts w:eastAsia="+mn-ea"/>
          <w:b/>
          <w:bCs/>
          <w:color w:val="000000"/>
          <w:kern w:val="24"/>
        </w:rPr>
      </w:pPr>
      <w:r w:rsidRPr="00124AD6">
        <w:rPr>
          <w:rFonts w:eastAsia="+mn-ea"/>
          <w:b/>
          <w:bCs/>
          <w:color w:val="000000"/>
          <w:kern w:val="24"/>
        </w:rPr>
        <w:t>Carga Tributaria 20</w:t>
      </w:r>
      <w:r>
        <w:rPr>
          <w:rFonts w:eastAsia="+mn-ea"/>
          <w:b/>
          <w:bCs/>
          <w:color w:val="000000"/>
          <w:kern w:val="24"/>
        </w:rPr>
        <w:t xml:space="preserve">13 </w:t>
      </w:r>
      <w:r w:rsidR="00927B21">
        <w:rPr>
          <w:rFonts w:eastAsia="+mn-ea"/>
          <w:b/>
          <w:bCs/>
          <w:color w:val="000000"/>
          <w:kern w:val="24"/>
        </w:rPr>
        <w:t>–</w:t>
      </w:r>
      <w:r>
        <w:rPr>
          <w:rFonts w:eastAsia="+mn-ea"/>
          <w:b/>
          <w:bCs/>
          <w:color w:val="000000"/>
          <w:kern w:val="24"/>
        </w:rPr>
        <w:t xml:space="preserve"> 2019</w:t>
      </w:r>
      <w:r w:rsidR="00927B21">
        <w:rPr>
          <w:rFonts w:eastAsia="+mn-ea"/>
          <w:b/>
          <w:bCs/>
          <w:color w:val="000000"/>
          <w:kern w:val="24"/>
        </w:rPr>
        <w:t>*</w:t>
      </w:r>
    </w:p>
    <w:p w:rsidR="003E15D6" w:rsidRPr="00124AD6" w:rsidRDefault="003E15D6" w:rsidP="003E15D6">
      <w:pPr>
        <w:pStyle w:val="NormalWeb"/>
        <w:spacing w:before="0" w:beforeAutospacing="0" w:after="0" w:afterAutospacing="0"/>
        <w:jc w:val="center"/>
      </w:pPr>
      <w:r>
        <w:rPr>
          <w:rFonts w:eastAsia="+mn-ea"/>
          <w:b/>
          <w:bCs/>
          <w:color w:val="000000"/>
          <w:kern w:val="24"/>
        </w:rPr>
        <w:t>Porcentaje del PIB</w:t>
      </w:r>
    </w:p>
    <w:p w:rsidR="003E15D6" w:rsidRDefault="003E15D6" w:rsidP="003E15D6">
      <w:pPr>
        <w:ind w:firstLine="66"/>
      </w:pPr>
      <w:r>
        <w:rPr>
          <w:noProof/>
          <w:lang w:val="es-GT" w:eastAsia="es-GT"/>
        </w:rPr>
        <w:drawing>
          <wp:inline distT="0" distB="0" distL="0" distR="0" wp14:anchorId="42C4C2A8" wp14:editId="116C81B3">
            <wp:extent cx="5954573" cy="3569818"/>
            <wp:effectExtent l="0" t="0" r="8255" b="0"/>
            <wp:docPr id="61" name="Gráfico 6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C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E15D6" w:rsidRPr="00927B21" w:rsidRDefault="003F669A" w:rsidP="003E15D6">
      <w:pPr>
        <w:ind w:firstLine="66"/>
        <w:rPr>
          <w:sz w:val="18"/>
        </w:rPr>
      </w:pPr>
      <w:r>
        <w:rPr>
          <w:sz w:val="18"/>
        </w:rPr>
        <w:t xml:space="preserve">                                 </w:t>
      </w:r>
      <w:r w:rsidR="003E15D6" w:rsidRPr="00927B21">
        <w:rPr>
          <w:sz w:val="18"/>
        </w:rPr>
        <w:t>*Cifras preliminares</w:t>
      </w:r>
    </w:p>
    <w:p w:rsidR="003E15D6" w:rsidRPr="00927B21" w:rsidRDefault="003F669A" w:rsidP="003E15D6">
      <w:pPr>
        <w:ind w:firstLine="66"/>
        <w:rPr>
          <w:sz w:val="18"/>
        </w:rPr>
      </w:pPr>
      <w:r>
        <w:rPr>
          <w:sz w:val="18"/>
        </w:rPr>
        <w:t xml:space="preserve">                                   </w:t>
      </w:r>
      <w:r w:rsidR="003E15D6" w:rsidRPr="00927B21">
        <w:rPr>
          <w:sz w:val="18"/>
        </w:rPr>
        <w:t>Fuente: Ministerio de Finanzas Públicas.</w:t>
      </w:r>
    </w:p>
    <w:p w:rsidR="003E15D6" w:rsidRDefault="003E15D6"/>
    <w:p w:rsidR="003E15D6" w:rsidRPr="00927B21" w:rsidRDefault="003E15D6">
      <w:pPr>
        <w:rPr>
          <w:sz w:val="28"/>
        </w:rPr>
      </w:pPr>
    </w:p>
    <w:p w:rsidR="006A75DE" w:rsidRPr="00927B21" w:rsidRDefault="006A75DE" w:rsidP="00C774F3">
      <w:pPr>
        <w:pStyle w:val="Ttulo2"/>
        <w:numPr>
          <w:ilvl w:val="0"/>
          <w:numId w:val="3"/>
        </w:numPr>
        <w:spacing w:line="276" w:lineRule="auto"/>
        <w:ind w:left="567" w:hanging="567"/>
        <w:rPr>
          <w:rFonts w:ascii="Times New Roman" w:hAnsi="Times New Roman"/>
          <w:color w:val="000000" w:themeColor="text1"/>
          <w:sz w:val="24"/>
          <w:szCs w:val="24"/>
        </w:rPr>
      </w:pPr>
      <w:bookmarkStart w:id="8" w:name="_Toc514399371"/>
      <w:bookmarkStart w:id="9" w:name="_Toc32829789"/>
      <w:bookmarkStart w:id="10" w:name="_Toc441675753"/>
      <w:bookmarkStart w:id="11" w:name="_Toc482339305"/>
      <w:bookmarkEnd w:id="1"/>
      <w:r w:rsidRPr="00927B21">
        <w:rPr>
          <w:rFonts w:ascii="Times New Roman" w:hAnsi="Times New Roman"/>
          <w:color w:val="000000" w:themeColor="text1"/>
          <w:sz w:val="24"/>
          <w:szCs w:val="24"/>
        </w:rPr>
        <w:t>Deuda Pública</w:t>
      </w:r>
      <w:bookmarkEnd w:id="8"/>
      <w:bookmarkEnd w:id="9"/>
    </w:p>
    <w:p w:rsidR="006A75DE" w:rsidRDefault="006A75DE" w:rsidP="006A75DE"/>
    <w:p w:rsidR="00011502" w:rsidRDefault="00011502" w:rsidP="00011502">
      <w:pPr>
        <w:jc w:val="both"/>
      </w:pPr>
      <w:r w:rsidRPr="00763F29">
        <w:t xml:space="preserve">La política fiscal sigue </w:t>
      </w:r>
      <w:r>
        <w:t>l</w:t>
      </w:r>
      <w:r w:rsidRPr="00763F29">
        <w:t xml:space="preserve">a tendencia hacia una mejor focalización de los recursos en un marco de transparencia y calidad del gasto, preservando la sostenibilidad fiscal, en los principales indicadores de solvencia de la deuda pública, lo cual se evidencia en la relación Deuda/PIB, </w:t>
      </w:r>
      <w:r>
        <w:t>que en promedio se mantiene en 24.6%</w:t>
      </w:r>
      <w:r w:rsidRPr="00763F29">
        <w:t xml:space="preserve">. </w:t>
      </w:r>
      <w:r>
        <w:t xml:space="preserve"> </w:t>
      </w:r>
      <w:r w:rsidRPr="00763F29">
        <w:t xml:space="preserve">Por su parte, el indicador que relaciona Deuda/Ingresos </w:t>
      </w:r>
      <w:r>
        <w:t>Tributarios</w:t>
      </w:r>
      <w:r w:rsidRPr="00763F29">
        <w:t xml:space="preserve"> se situó </w:t>
      </w:r>
      <w:r>
        <w:t xml:space="preserve">al 30 de noviembre de </w:t>
      </w:r>
      <w:r w:rsidRPr="00763F29">
        <w:t>201</w:t>
      </w:r>
      <w:r>
        <w:t>9</w:t>
      </w:r>
      <w:r w:rsidRPr="00763F29">
        <w:t xml:space="preserve"> en 2</w:t>
      </w:r>
      <w:r>
        <w:t>73.0</w:t>
      </w:r>
      <w:r w:rsidRPr="00763F29">
        <w:t xml:space="preserve">%, mientras que el año anterior fue de </w:t>
      </w:r>
      <w:r>
        <w:t>248.2</w:t>
      </w:r>
      <w:r w:rsidRPr="00763F29">
        <w:t>%</w:t>
      </w:r>
      <w:r w:rsidR="00B14319">
        <w:t>;</w:t>
      </w:r>
      <w:r w:rsidRPr="00763F29">
        <w:t xml:space="preserve"> </w:t>
      </w:r>
      <w:r>
        <w:t xml:space="preserve">la variación </w:t>
      </w:r>
      <w:r w:rsidRPr="00763F29">
        <w:t xml:space="preserve">se debió al </w:t>
      </w:r>
      <w:r>
        <w:t>incremento</w:t>
      </w:r>
      <w:r w:rsidRPr="00763F29">
        <w:t xml:space="preserve"> </w:t>
      </w:r>
      <w:r>
        <w:t xml:space="preserve">de la deuda </w:t>
      </w:r>
      <w:r w:rsidRPr="00763F29">
        <w:t xml:space="preserve">respecto </w:t>
      </w:r>
      <w:r>
        <w:t xml:space="preserve">de los ingresos tributarios; el </w:t>
      </w:r>
      <w:r w:rsidRPr="00763F29">
        <w:t xml:space="preserve">cual pasó de </w:t>
      </w:r>
      <w:r>
        <w:t>Q</w:t>
      </w:r>
      <w:r w:rsidR="00B14319">
        <w:t>.</w:t>
      </w:r>
      <w:r w:rsidRPr="00763F29">
        <w:t>1</w:t>
      </w:r>
      <w:r>
        <w:t>46,020.6</w:t>
      </w:r>
      <w:r w:rsidRPr="00763F29">
        <w:t xml:space="preserve"> millones en 201</w:t>
      </w:r>
      <w:r>
        <w:t>8</w:t>
      </w:r>
      <w:r w:rsidRPr="00763F29">
        <w:t xml:space="preserve"> a </w:t>
      </w:r>
      <w:r>
        <w:t>Q</w:t>
      </w:r>
      <w:r w:rsidR="00B14319">
        <w:t>.</w:t>
      </w:r>
      <w:r w:rsidRPr="00763F29">
        <w:t>1</w:t>
      </w:r>
      <w:r>
        <w:t>57,220.4</w:t>
      </w:r>
      <w:r w:rsidRPr="00763F29">
        <w:t xml:space="preserve"> millones </w:t>
      </w:r>
      <w:r>
        <w:t>al 30 de noviembre de</w:t>
      </w:r>
      <w:r w:rsidRPr="00763F29">
        <w:t xml:space="preserve"> 201</w:t>
      </w:r>
      <w:r>
        <w:t>9</w:t>
      </w:r>
      <w:r w:rsidRPr="00763F29">
        <w:t>.</w:t>
      </w:r>
    </w:p>
    <w:p w:rsidR="00D01337" w:rsidRDefault="00D01337" w:rsidP="00011502">
      <w:pPr>
        <w:jc w:val="both"/>
      </w:pPr>
    </w:p>
    <w:p w:rsidR="00011502" w:rsidRPr="00253E46" w:rsidRDefault="00011502" w:rsidP="00011502">
      <w:pPr>
        <w:jc w:val="center"/>
        <w:rPr>
          <w:b/>
          <w:lang w:val="es-MX"/>
        </w:rPr>
      </w:pPr>
      <w:r w:rsidRPr="00253E46">
        <w:rPr>
          <w:b/>
          <w:lang w:val="es-MX"/>
        </w:rPr>
        <w:lastRenderedPageBreak/>
        <w:t>Gráfica 11</w:t>
      </w:r>
    </w:p>
    <w:p w:rsidR="00011502" w:rsidRPr="00253E46" w:rsidRDefault="00011502" w:rsidP="00011502">
      <w:pPr>
        <w:jc w:val="center"/>
        <w:rPr>
          <w:b/>
          <w:lang w:val="es-MX"/>
        </w:rPr>
      </w:pPr>
      <w:r w:rsidRPr="00253E46">
        <w:rPr>
          <w:b/>
          <w:lang w:val="es-MX"/>
        </w:rPr>
        <w:t xml:space="preserve">Situación de la Deuda Pública; </w:t>
      </w:r>
      <w:r>
        <w:rPr>
          <w:b/>
          <w:lang w:val="es-MX"/>
        </w:rPr>
        <w:t>(P</w:t>
      </w:r>
      <w:r w:rsidRPr="00253E46">
        <w:rPr>
          <w:b/>
          <w:lang w:val="es-MX"/>
        </w:rPr>
        <w:t xml:space="preserve">orcentaje respecto </w:t>
      </w:r>
      <w:r>
        <w:rPr>
          <w:b/>
          <w:lang w:val="es-MX"/>
        </w:rPr>
        <w:t>del</w:t>
      </w:r>
      <w:r w:rsidRPr="00253E46">
        <w:rPr>
          <w:b/>
          <w:lang w:val="es-MX"/>
        </w:rPr>
        <w:t xml:space="preserve"> PIB</w:t>
      </w:r>
      <w:r>
        <w:rPr>
          <w:b/>
          <w:lang w:val="es-MX"/>
        </w:rPr>
        <w:t>)</w:t>
      </w:r>
    </w:p>
    <w:p w:rsidR="00011502" w:rsidRDefault="00011502" w:rsidP="00011502">
      <w:pPr>
        <w:jc w:val="center"/>
        <w:rPr>
          <w:b/>
          <w:sz w:val="22"/>
          <w:lang w:val="es-MX"/>
        </w:rPr>
      </w:pPr>
      <w:r w:rsidRPr="00253E46">
        <w:rPr>
          <w:b/>
          <w:lang w:val="es-MX"/>
        </w:rPr>
        <w:t xml:space="preserve">2008 </w:t>
      </w:r>
      <w:r w:rsidR="00CF14DC">
        <w:rPr>
          <w:b/>
          <w:lang w:val="es-MX"/>
        </w:rPr>
        <w:t>-</w:t>
      </w:r>
      <w:r w:rsidRPr="00253E46">
        <w:rPr>
          <w:b/>
          <w:lang w:val="es-MX"/>
        </w:rPr>
        <w:t xml:space="preserve"> 201</w:t>
      </w:r>
      <w:r w:rsidR="00CF14DC">
        <w:rPr>
          <w:b/>
          <w:lang w:val="es-MX"/>
        </w:rPr>
        <w:t>9</w:t>
      </w:r>
    </w:p>
    <w:p w:rsidR="00011502" w:rsidRPr="00CF14DC" w:rsidRDefault="00011502" w:rsidP="00011502">
      <w:pPr>
        <w:jc w:val="center"/>
        <w:rPr>
          <w:b/>
          <w:sz w:val="32"/>
          <w:lang w:val="es-MX"/>
        </w:rPr>
      </w:pPr>
      <w:r>
        <w:rPr>
          <w:noProof/>
          <w:lang w:val="es-GT" w:eastAsia="es-GT"/>
        </w:rPr>
        <w:drawing>
          <wp:inline distT="0" distB="0" distL="0" distR="0" wp14:anchorId="0AB85B44" wp14:editId="5D91EBC2">
            <wp:extent cx="5612130" cy="3237865"/>
            <wp:effectExtent l="0" t="0" r="7620" b="635"/>
            <wp:docPr id="17" name="Gráfico 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F14DC" w:rsidRPr="00CF14DC" w:rsidRDefault="00CF14DC" w:rsidP="00011502">
      <w:pPr>
        <w:ind w:firstLine="567"/>
        <w:rPr>
          <w:sz w:val="6"/>
          <w:lang w:val="es-MX"/>
        </w:rPr>
      </w:pPr>
    </w:p>
    <w:p w:rsidR="00011502" w:rsidRPr="00CF14DC" w:rsidRDefault="0065502C" w:rsidP="00011502">
      <w:pPr>
        <w:ind w:firstLine="567"/>
        <w:rPr>
          <w:sz w:val="18"/>
          <w:lang w:val="es-MX"/>
        </w:rPr>
      </w:pPr>
      <w:r>
        <w:rPr>
          <w:sz w:val="18"/>
          <w:lang w:val="es-MX"/>
        </w:rPr>
        <w:t xml:space="preserve">       </w:t>
      </w:r>
      <w:r w:rsidR="00011502" w:rsidRPr="00CF14DC">
        <w:rPr>
          <w:sz w:val="18"/>
          <w:lang w:val="es-MX"/>
        </w:rPr>
        <w:t>* Cifras preliminares</w:t>
      </w:r>
    </w:p>
    <w:p w:rsidR="00011502" w:rsidRDefault="0065502C" w:rsidP="00011502">
      <w:pPr>
        <w:ind w:firstLine="567"/>
        <w:rPr>
          <w:sz w:val="16"/>
          <w:lang w:val="es-MX"/>
        </w:rPr>
      </w:pPr>
      <w:r>
        <w:rPr>
          <w:sz w:val="18"/>
          <w:lang w:val="es-MX"/>
        </w:rPr>
        <w:t xml:space="preserve">          </w:t>
      </w:r>
      <w:r w:rsidR="00011502" w:rsidRPr="00CF14DC">
        <w:rPr>
          <w:sz w:val="18"/>
          <w:lang w:val="es-MX"/>
        </w:rPr>
        <w:t>Fuente: Ministerio de Finanzas Públicas</w:t>
      </w:r>
      <w:r w:rsidR="00011502">
        <w:rPr>
          <w:sz w:val="16"/>
          <w:lang w:val="es-MX"/>
        </w:rPr>
        <w:t>.</w:t>
      </w:r>
    </w:p>
    <w:p w:rsidR="00011502" w:rsidRPr="0003319E" w:rsidRDefault="00011502" w:rsidP="00011502">
      <w:pPr>
        <w:ind w:firstLine="567"/>
        <w:rPr>
          <w:lang w:val="es-MX"/>
        </w:rPr>
      </w:pPr>
    </w:p>
    <w:p w:rsidR="00011502" w:rsidRPr="0003319E" w:rsidRDefault="00011502" w:rsidP="00011502">
      <w:pPr>
        <w:ind w:firstLine="567"/>
        <w:rPr>
          <w:lang w:val="es-MX"/>
        </w:rPr>
      </w:pPr>
    </w:p>
    <w:p w:rsidR="00011502" w:rsidRDefault="00011502" w:rsidP="00C774F3">
      <w:pPr>
        <w:pStyle w:val="Ttulo3"/>
        <w:numPr>
          <w:ilvl w:val="0"/>
          <w:numId w:val="6"/>
        </w:numPr>
        <w:spacing w:before="0"/>
        <w:rPr>
          <w:rFonts w:ascii="Times New Roman" w:hAnsi="Times New Roman"/>
          <w:color w:val="000000" w:themeColor="text1"/>
        </w:rPr>
      </w:pPr>
      <w:bookmarkStart w:id="12" w:name="_Toc32829790"/>
      <w:r w:rsidRPr="00256F9C">
        <w:rPr>
          <w:rFonts w:ascii="Times New Roman" w:hAnsi="Times New Roman"/>
          <w:color w:val="000000" w:themeColor="text1"/>
        </w:rPr>
        <w:t>Indicadores de la Deuda Pública</w:t>
      </w:r>
      <w:bookmarkEnd w:id="12"/>
      <w:r w:rsidRPr="00256F9C">
        <w:rPr>
          <w:rFonts w:ascii="Times New Roman" w:hAnsi="Times New Roman"/>
          <w:color w:val="000000" w:themeColor="text1"/>
        </w:rPr>
        <w:t xml:space="preserve"> </w:t>
      </w:r>
    </w:p>
    <w:p w:rsidR="00011502" w:rsidRDefault="00011502" w:rsidP="00011502"/>
    <w:p w:rsidR="00011502" w:rsidRDefault="00011502" w:rsidP="00011502">
      <w:pPr>
        <w:pStyle w:val="Sinespaciado"/>
        <w:jc w:val="both"/>
        <w:rPr>
          <w:rFonts w:ascii="Times New Roman" w:hAnsi="Times New Roman" w:cs="Times New Roman"/>
        </w:rPr>
      </w:pPr>
      <w:r w:rsidRPr="00FA6B0D">
        <w:rPr>
          <w:rFonts w:ascii="Times New Roman" w:hAnsi="Times New Roman" w:cs="Times New Roman"/>
        </w:rPr>
        <w:t xml:space="preserve">Guatemala se mantiene en niveles aceptables de endeudamiento, dado que no se han sobrepasado los estándares internacionalmente aceptados, tanto en la proporción de los ingresos </w:t>
      </w:r>
      <w:r>
        <w:rPr>
          <w:rFonts w:ascii="Times New Roman" w:hAnsi="Times New Roman" w:cs="Times New Roman"/>
        </w:rPr>
        <w:t>tributarios,</w:t>
      </w:r>
      <w:r w:rsidRPr="00FA6B0D">
        <w:rPr>
          <w:rFonts w:ascii="Times New Roman" w:hAnsi="Times New Roman" w:cs="Times New Roman"/>
        </w:rPr>
        <w:t xml:space="preserve"> como en lo que respecta al porcentaje</w:t>
      </w:r>
      <w:r w:rsidR="0003319E">
        <w:rPr>
          <w:rFonts w:ascii="Times New Roman" w:hAnsi="Times New Roman" w:cs="Times New Roman"/>
        </w:rPr>
        <w:t xml:space="preserve"> de la deuda sobre </w:t>
      </w:r>
      <w:r w:rsidRPr="00FA6B0D">
        <w:rPr>
          <w:rFonts w:ascii="Times New Roman" w:hAnsi="Times New Roman" w:cs="Times New Roman"/>
        </w:rPr>
        <w:t>el PIB.</w:t>
      </w:r>
    </w:p>
    <w:p w:rsidR="00011502" w:rsidRDefault="00011502" w:rsidP="00011502">
      <w:pPr>
        <w:pStyle w:val="Sinespaciado"/>
        <w:jc w:val="both"/>
        <w:rPr>
          <w:rFonts w:ascii="Times New Roman" w:hAnsi="Times New Roman" w:cs="Times New Roman"/>
        </w:rPr>
      </w:pPr>
    </w:p>
    <w:p w:rsidR="0003319E" w:rsidRDefault="0003319E" w:rsidP="00011502">
      <w:pPr>
        <w:pStyle w:val="Sinespaciado"/>
        <w:jc w:val="both"/>
        <w:rPr>
          <w:rFonts w:ascii="Times New Roman" w:hAnsi="Times New Roman" w:cs="Times New Roman"/>
        </w:rPr>
      </w:pPr>
    </w:p>
    <w:p w:rsidR="00011502" w:rsidRPr="00954BC4" w:rsidRDefault="00011502" w:rsidP="00011502">
      <w:pPr>
        <w:pStyle w:val="Sinespaciado"/>
        <w:jc w:val="both"/>
        <w:rPr>
          <w:rFonts w:ascii="Times New Roman" w:hAnsi="Times New Roman" w:cs="Times New Roman"/>
          <w:b/>
        </w:rPr>
      </w:pPr>
      <w:r w:rsidRPr="00954BC4">
        <w:rPr>
          <w:rFonts w:ascii="Times New Roman" w:hAnsi="Times New Roman" w:cs="Times New Roman"/>
          <w:b/>
        </w:rPr>
        <w:t>Datos preliminares al 30 de noviembre de 2019</w:t>
      </w:r>
    </w:p>
    <w:p w:rsidR="00011502" w:rsidRPr="00124AD6" w:rsidRDefault="00011502" w:rsidP="00011502">
      <w:pPr>
        <w:autoSpaceDE w:val="0"/>
        <w:autoSpaceDN w:val="0"/>
        <w:adjustRightInd w:val="0"/>
        <w:jc w:val="both"/>
      </w:pPr>
    </w:p>
    <w:p w:rsidR="00011502" w:rsidRDefault="00011502" w:rsidP="00011502">
      <w:pPr>
        <w:jc w:val="both"/>
        <w:rPr>
          <w:lang w:val="es-MX"/>
        </w:rPr>
      </w:pPr>
      <w:r w:rsidRPr="00124AD6">
        <w:rPr>
          <w:lang w:val="es-MX"/>
        </w:rPr>
        <w:t xml:space="preserve">La distribución porcentual de la deuda </w:t>
      </w:r>
      <w:r>
        <w:rPr>
          <w:lang w:val="es-MX"/>
        </w:rPr>
        <w:t xml:space="preserve">interna y </w:t>
      </w:r>
      <w:r w:rsidRPr="00124AD6">
        <w:rPr>
          <w:lang w:val="es-MX"/>
        </w:rPr>
        <w:t>externa</w:t>
      </w:r>
      <w:r>
        <w:rPr>
          <w:lang w:val="es-MX"/>
        </w:rPr>
        <w:t xml:space="preserve"> </w:t>
      </w:r>
      <w:r w:rsidRPr="00124AD6">
        <w:rPr>
          <w:lang w:val="es-MX"/>
        </w:rPr>
        <w:t xml:space="preserve">se </w:t>
      </w:r>
      <w:r>
        <w:rPr>
          <w:lang w:val="es-MX"/>
        </w:rPr>
        <w:t xml:space="preserve">ubicó </w:t>
      </w:r>
      <w:r w:rsidRPr="00124AD6">
        <w:rPr>
          <w:lang w:val="es-MX"/>
        </w:rPr>
        <w:t>en 5</w:t>
      </w:r>
      <w:r>
        <w:rPr>
          <w:lang w:val="es-MX"/>
        </w:rPr>
        <w:t>5.4</w:t>
      </w:r>
      <w:r w:rsidRPr="00124AD6">
        <w:rPr>
          <w:lang w:val="es-MX"/>
        </w:rPr>
        <w:t>% y 4</w:t>
      </w:r>
      <w:r>
        <w:rPr>
          <w:lang w:val="es-MX"/>
        </w:rPr>
        <w:t>4.6</w:t>
      </w:r>
      <w:r w:rsidRPr="00124AD6">
        <w:rPr>
          <w:lang w:val="es-MX"/>
        </w:rPr>
        <w:t>%</w:t>
      </w:r>
      <w:r>
        <w:rPr>
          <w:lang w:val="es-MX"/>
        </w:rPr>
        <w:t xml:space="preserve"> respectivamente; evidenciando un pequeño aumento en la deuda interna</w:t>
      </w:r>
      <w:r w:rsidRPr="00124AD6">
        <w:rPr>
          <w:lang w:val="es-MX"/>
        </w:rPr>
        <w:t xml:space="preserve">. </w:t>
      </w:r>
      <w:r>
        <w:rPr>
          <w:lang w:val="es-MX"/>
        </w:rPr>
        <w:t xml:space="preserve">Con base </w:t>
      </w:r>
      <w:r w:rsidR="0003319E">
        <w:rPr>
          <w:lang w:val="es-MX"/>
        </w:rPr>
        <w:t>en</w:t>
      </w:r>
      <w:r>
        <w:rPr>
          <w:lang w:val="es-MX"/>
        </w:rPr>
        <w:t xml:space="preserve"> la información publicada en el Reporte de Operaciones de Crédito Público al 30 de noviembre de 2019.</w:t>
      </w:r>
    </w:p>
    <w:p w:rsidR="00011502" w:rsidRDefault="00011502" w:rsidP="00011502">
      <w:pPr>
        <w:jc w:val="both"/>
        <w:rPr>
          <w:lang w:val="es-MX"/>
        </w:rPr>
      </w:pPr>
    </w:p>
    <w:p w:rsidR="00011502" w:rsidRDefault="00011502" w:rsidP="00011502">
      <w:pPr>
        <w:jc w:val="both"/>
        <w:rPr>
          <w:lang w:val="es-MX"/>
        </w:rPr>
      </w:pPr>
      <w:r>
        <w:rPr>
          <w:lang w:val="es-MX"/>
        </w:rPr>
        <w:t>La composición de la deuda pública por tasa de interés, preliminarmente, es de</w:t>
      </w:r>
      <w:r w:rsidRPr="00124AD6">
        <w:rPr>
          <w:lang w:val="es-MX"/>
        </w:rPr>
        <w:t xml:space="preserve"> 7</w:t>
      </w:r>
      <w:r>
        <w:rPr>
          <w:lang w:val="es-MX"/>
        </w:rPr>
        <w:t>8.9</w:t>
      </w:r>
      <w:r w:rsidRPr="00124AD6">
        <w:rPr>
          <w:lang w:val="es-MX"/>
        </w:rPr>
        <w:t xml:space="preserve">% con tasa de interés fija </w:t>
      </w:r>
      <w:r>
        <w:rPr>
          <w:lang w:val="es-MX"/>
        </w:rPr>
        <w:t xml:space="preserve">y de </w:t>
      </w:r>
      <w:r w:rsidRPr="00124AD6">
        <w:rPr>
          <w:lang w:val="es-MX"/>
        </w:rPr>
        <w:t>2</w:t>
      </w:r>
      <w:r>
        <w:rPr>
          <w:lang w:val="es-MX"/>
        </w:rPr>
        <w:t>1.1</w:t>
      </w:r>
      <w:r w:rsidRPr="00124AD6">
        <w:rPr>
          <w:lang w:val="es-MX"/>
        </w:rPr>
        <w:t xml:space="preserve">% </w:t>
      </w:r>
      <w:r>
        <w:rPr>
          <w:lang w:val="es-MX"/>
        </w:rPr>
        <w:t>con tasa de interés variable</w:t>
      </w:r>
      <w:r w:rsidRPr="00124AD6">
        <w:rPr>
          <w:lang w:val="es-MX"/>
        </w:rPr>
        <w:t>.</w:t>
      </w:r>
    </w:p>
    <w:p w:rsidR="00011502" w:rsidRDefault="00011502" w:rsidP="00011502">
      <w:pPr>
        <w:jc w:val="both"/>
        <w:rPr>
          <w:lang w:val="es-MX"/>
        </w:rPr>
      </w:pPr>
    </w:p>
    <w:p w:rsidR="00011502" w:rsidRDefault="00011502" w:rsidP="00011502">
      <w:pPr>
        <w:jc w:val="both"/>
        <w:rPr>
          <w:lang w:val="es-MX"/>
        </w:rPr>
      </w:pPr>
      <w:r>
        <w:rPr>
          <w:lang w:val="es-MX"/>
        </w:rPr>
        <w:t>Asimismo, por tipo de moneda se tiene la siguiente composición: moneda nacional 51.4% y 48.6% en moneda extranjera.</w:t>
      </w:r>
    </w:p>
    <w:p w:rsidR="00011502" w:rsidRDefault="00011502" w:rsidP="00011502">
      <w:pPr>
        <w:jc w:val="both"/>
        <w:rPr>
          <w:lang w:val="es-MX"/>
        </w:rPr>
      </w:pPr>
    </w:p>
    <w:p w:rsidR="00D01337" w:rsidRDefault="00D01337" w:rsidP="00011502">
      <w:pPr>
        <w:jc w:val="both"/>
        <w:rPr>
          <w:lang w:val="es-MX"/>
        </w:rPr>
      </w:pPr>
    </w:p>
    <w:p w:rsidR="00011502" w:rsidRDefault="00011502" w:rsidP="00011502">
      <w:pPr>
        <w:jc w:val="both"/>
        <w:rPr>
          <w:lang w:val="es-MX"/>
        </w:rPr>
      </w:pPr>
      <w:r>
        <w:rPr>
          <w:lang w:val="es-MX"/>
        </w:rPr>
        <w:t>En lo referente a la fuente de donde provienen los recursos, sea de Colocación de Bonos</w:t>
      </w:r>
      <w:r w:rsidR="0003319E">
        <w:rPr>
          <w:lang w:val="es-MX"/>
        </w:rPr>
        <w:t xml:space="preserve"> del Tesoro</w:t>
      </w:r>
      <w:r>
        <w:rPr>
          <w:lang w:val="es-MX"/>
        </w:rPr>
        <w:t xml:space="preserve"> o de Préstamos, se ubica en 75.6% </w:t>
      </w:r>
      <w:r w:rsidR="0003319E">
        <w:rPr>
          <w:lang w:val="es-MX"/>
        </w:rPr>
        <w:t xml:space="preserve"> </w:t>
      </w:r>
      <w:r>
        <w:rPr>
          <w:lang w:val="es-MX"/>
        </w:rPr>
        <w:t>y</w:t>
      </w:r>
      <w:r w:rsidR="0003319E">
        <w:rPr>
          <w:lang w:val="es-MX"/>
        </w:rPr>
        <w:t xml:space="preserve"> </w:t>
      </w:r>
      <w:r>
        <w:rPr>
          <w:lang w:val="es-MX"/>
        </w:rPr>
        <w:t xml:space="preserve"> 24.4% respectivamente.</w:t>
      </w:r>
    </w:p>
    <w:p w:rsidR="00011502" w:rsidRDefault="00011502" w:rsidP="00011502">
      <w:pPr>
        <w:jc w:val="both"/>
        <w:rPr>
          <w:b/>
          <w:lang w:val="es-MX"/>
        </w:rPr>
      </w:pPr>
    </w:p>
    <w:p w:rsidR="00011502" w:rsidRPr="0011363F" w:rsidRDefault="00011502" w:rsidP="00011502">
      <w:pPr>
        <w:jc w:val="center"/>
        <w:rPr>
          <w:b/>
          <w:sz w:val="16"/>
          <w:lang w:val="es-MX"/>
        </w:rPr>
      </w:pPr>
    </w:p>
    <w:p w:rsidR="00011502" w:rsidRPr="00253E46" w:rsidRDefault="00011502" w:rsidP="00011502">
      <w:pPr>
        <w:jc w:val="center"/>
        <w:rPr>
          <w:b/>
          <w:lang w:val="es-MX"/>
        </w:rPr>
      </w:pPr>
      <w:r w:rsidRPr="00253E46">
        <w:rPr>
          <w:b/>
          <w:lang w:val="es-MX"/>
        </w:rPr>
        <w:t>Gráfica 12</w:t>
      </w:r>
    </w:p>
    <w:p w:rsidR="00011502" w:rsidRPr="00253E46" w:rsidRDefault="00011502" w:rsidP="00011502">
      <w:pPr>
        <w:jc w:val="center"/>
        <w:rPr>
          <w:b/>
          <w:lang w:val="es-MX"/>
        </w:rPr>
      </w:pPr>
      <w:r w:rsidRPr="00253E46">
        <w:rPr>
          <w:b/>
          <w:lang w:val="es-MX"/>
        </w:rPr>
        <w:t>Composición de la Deuda Pública en Interna y Externa</w:t>
      </w:r>
    </w:p>
    <w:p w:rsidR="00011502" w:rsidRPr="00124AD6" w:rsidRDefault="00011502" w:rsidP="00011502">
      <w:pPr>
        <w:jc w:val="center"/>
        <w:rPr>
          <w:lang w:val="es-MX"/>
        </w:rPr>
      </w:pPr>
      <w:r>
        <w:rPr>
          <w:noProof/>
          <w:lang w:val="es-GT" w:eastAsia="es-GT"/>
        </w:rPr>
        <w:drawing>
          <wp:inline distT="0" distB="0" distL="0" distR="0" wp14:anchorId="420E6A30" wp14:editId="3E0C7ED1">
            <wp:extent cx="2225710" cy="1546860"/>
            <wp:effectExtent l="0" t="0" r="3175" b="0"/>
            <wp:docPr id="23" name="Gráfico 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5C8DDF43-647E-4D4A-BBE6-DA91961D11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011502" w:rsidRPr="0046725D" w:rsidRDefault="00011502" w:rsidP="00011502">
      <w:pPr>
        <w:ind w:firstLine="567"/>
        <w:rPr>
          <w:sz w:val="16"/>
          <w:lang w:val="es-MX"/>
        </w:rPr>
      </w:pPr>
      <w:r>
        <w:rPr>
          <w:sz w:val="16"/>
          <w:lang w:val="es-MX"/>
        </w:rPr>
        <w:t xml:space="preserve">                      </w:t>
      </w:r>
      <w:r w:rsidR="009519E5">
        <w:rPr>
          <w:sz w:val="16"/>
          <w:lang w:val="es-MX"/>
        </w:rPr>
        <w:t xml:space="preserve">       </w:t>
      </w:r>
      <w:r w:rsidR="00081B1C">
        <w:rPr>
          <w:sz w:val="16"/>
          <w:lang w:val="es-MX"/>
        </w:rPr>
        <w:t xml:space="preserve">          </w:t>
      </w:r>
      <w:r w:rsidR="0065502C">
        <w:rPr>
          <w:sz w:val="16"/>
          <w:lang w:val="es-MX"/>
        </w:rPr>
        <w:t xml:space="preserve">        </w:t>
      </w:r>
      <w:r w:rsidR="00081B1C">
        <w:rPr>
          <w:sz w:val="16"/>
          <w:lang w:val="es-MX"/>
        </w:rPr>
        <w:t xml:space="preserve">    </w:t>
      </w:r>
      <w:r w:rsidR="009519E5">
        <w:rPr>
          <w:sz w:val="16"/>
          <w:lang w:val="es-MX"/>
        </w:rPr>
        <w:t xml:space="preserve">                </w:t>
      </w:r>
      <w:r>
        <w:rPr>
          <w:sz w:val="16"/>
          <w:lang w:val="es-MX"/>
        </w:rPr>
        <w:t xml:space="preserve">     </w:t>
      </w:r>
      <w:r w:rsidRPr="0046725D">
        <w:rPr>
          <w:sz w:val="16"/>
          <w:lang w:val="es-MX"/>
        </w:rPr>
        <w:t>Fuente: Ministerio de Finanzas Públicas</w:t>
      </w:r>
      <w:r>
        <w:rPr>
          <w:sz w:val="16"/>
          <w:lang w:val="es-MX"/>
        </w:rPr>
        <w:t>.</w:t>
      </w:r>
    </w:p>
    <w:p w:rsidR="00011502" w:rsidRDefault="00011502" w:rsidP="00011502">
      <w:pPr>
        <w:jc w:val="both"/>
        <w:rPr>
          <w:lang w:val="es-MX"/>
        </w:rPr>
      </w:pPr>
    </w:p>
    <w:p w:rsidR="00011502" w:rsidRDefault="00011502" w:rsidP="00011502">
      <w:pPr>
        <w:jc w:val="both"/>
        <w:rPr>
          <w:lang w:val="es-MX"/>
        </w:rPr>
      </w:pPr>
    </w:p>
    <w:p w:rsidR="00011502" w:rsidRPr="00D01337" w:rsidRDefault="00011502" w:rsidP="00011502">
      <w:pPr>
        <w:jc w:val="both"/>
        <w:rPr>
          <w:sz w:val="10"/>
          <w:lang w:val="es-MX"/>
        </w:rPr>
      </w:pPr>
    </w:p>
    <w:p w:rsidR="00011502" w:rsidRDefault="00011502" w:rsidP="00011502">
      <w:pPr>
        <w:jc w:val="center"/>
        <w:rPr>
          <w:b/>
          <w:sz w:val="22"/>
          <w:lang w:val="es-MX"/>
        </w:rPr>
      </w:pPr>
      <w:r w:rsidRPr="0046725D">
        <w:rPr>
          <w:b/>
          <w:sz w:val="22"/>
          <w:lang w:val="es-MX"/>
        </w:rPr>
        <w:t>Gráfica 1</w:t>
      </w:r>
      <w:r>
        <w:rPr>
          <w:b/>
          <w:sz w:val="22"/>
          <w:lang w:val="es-MX"/>
        </w:rPr>
        <w:t>3</w:t>
      </w:r>
    </w:p>
    <w:p w:rsidR="00011502" w:rsidRPr="0046725D" w:rsidRDefault="00011502" w:rsidP="00011502">
      <w:pPr>
        <w:jc w:val="center"/>
        <w:rPr>
          <w:b/>
          <w:sz w:val="22"/>
          <w:lang w:val="es-MX"/>
        </w:rPr>
      </w:pPr>
      <w:r>
        <w:rPr>
          <w:b/>
          <w:sz w:val="22"/>
          <w:lang w:val="es-MX"/>
        </w:rPr>
        <w:t xml:space="preserve">Composición </w:t>
      </w:r>
      <w:r w:rsidRPr="0046725D">
        <w:rPr>
          <w:b/>
          <w:sz w:val="22"/>
          <w:lang w:val="es-MX"/>
        </w:rPr>
        <w:t>de la Deuda Pública</w:t>
      </w:r>
      <w:r>
        <w:rPr>
          <w:b/>
          <w:sz w:val="22"/>
          <w:lang w:val="es-MX"/>
        </w:rPr>
        <w:t xml:space="preserve"> por Tasa de Interés</w:t>
      </w:r>
    </w:p>
    <w:p w:rsidR="00011502" w:rsidRDefault="00011502" w:rsidP="00011502">
      <w:pPr>
        <w:jc w:val="center"/>
        <w:rPr>
          <w:lang w:val="es-MX"/>
        </w:rPr>
      </w:pPr>
      <w:r>
        <w:rPr>
          <w:noProof/>
          <w:lang w:val="es-GT" w:eastAsia="es-GT"/>
        </w:rPr>
        <w:drawing>
          <wp:inline distT="0" distB="0" distL="0" distR="0" wp14:anchorId="0069E76E" wp14:editId="79E00FB8">
            <wp:extent cx="3328416" cy="1741018"/>
            <wp:effectExtent l="0" t="0" r="5715" b="0"/>
            <wp:docPr id="24" name="Gráfico 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65CAE272-BAAA-46FD-ABAB-335C22BA98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011502" w:rsidRPr="0046725D" w:rsidRDefault="00011502" w:rsidP="00011502">
      <w:pPr>
        <w:ind w:firstLine="567"/>
        <w:rPr>
          <w:sz w:val="16"/>
          <w:lang w:val="es-MX"/>
        </w:rPr>
      </w:pPr>
      <w:r>
        <w:rPr>
          <w:sz w:val="16"/>
          <w:lang w:val="es-MX"/>
        </w:rPr>
        <w:t xml:space="preserve">                      </w:t>
      </w:r>
      <w:r w:rsidR="00040E5B">
        <w:rPr>
          <w:sz w:val="16"/>
          <w:lang w:val="es-MX"/>
        </w:rPr>
        <w:t xml:space="preserve">       </w:t>
      </w:r>
      <w:r w:rsidR="0065502C">
        <w:rPr>
          <w:sz w:val="16"/>
          <w:lang w:val="es-MX"/>
        </w:rPr>
        <w:t xml:space="preserve">          </w:t>
      </w:r>
      <w:r w:rsidR="00040E5B">
        <w:rPr>
          <w:sz w:val="16"/>
          <w:lang w:val="es-MX"/>
        </w:rPr>
        <w:t xml:space="preserve">                        </w:t>
      </w:r>
      <w:r>
        <w:rPr>
          <w:sz w:val="16"/>
          <w:lang w:val="es-MX"/>
        </w:rPr>
        <w:t xml:space="preserve">        </w:t>
      </w:r>
      <w:r w:rsidRPr="0046725D">
        <w:rPr>
          <w:sz w:val="16"/>
          <w:lang w:val="es-MX"/>
        </w:rPr>
        <w:t>Fuente: Ministerio de Finanzas Públicas</w:t>
      </w:r>
      <w:r>
        <w:rPr>
          <w:sz w:val="16"/>
          <w:lang w:val="es-MX"/>
        </w:rPr>
        <w:t>.</w:t>
      </w:r>
    </w:p>
    <w:p w:rsidR="00011502" w:rsidRDefault="00011502" w:rsidP="00011502">
      <w:pPr>
        <w:jc w:val="both"/>
        <w:rPr>
          <w:lang w:val="es-MX"/>
        </w:rPr>
      </w:pPr>
    </w:p>
    <w:p w:rsidR="00011502" w:rsidRPr="00D01337" w:rsidRDefault="00011502" w:rsidP="00011502">
      <w:pPr>
        <w:jc w:val="both"/>
        <w:rPr>
          <w:sz w:val="10"/>
          <w:lang w:val="es-MX"/>
        </w:rPr>
      </w:pPr>
    </w:p>
    <w:p w:rsidR="0011363F" w:rsidRPr="00124AD6" w:rsidRDefault="0011363F" w:rsidP="00011502">
      <w:pPr>
        <w:jc w:val="both"/>
        <w:rPr>
          <w:lang w:val="es-MX"/>
        </w:rPr>
      </w:pPr>
    </w:p>
    <w:p w:rsidR="00011502" w:rsidRPr="00253E46" w:rsidRDefault="00011502" w:rsidP="00011502">
      <w:pPr>
        <w:jc w:val="center"/>
        <w:rPr>
          <w:b/>
          <w:lang w:val="es-MX"/>
        </w:rPr>
      </w:pPr>
      <w:r w:rsidRPr="00253E46">
        <w:rPr>
          <w:b/>
          <w:lang w:val="es-MX"/>
        </w:rPr>
        <w:t>Gráfica 14</w:t>
      </w:r>
    </w:p>
    <w:p w:rsidR="00011502" w:rsidRPr="00253E46" w:rsidRDefault="00011502" w:rsidP="00011502">
      <w:pPr>
        <w:jc w:val="center"/>
        <w:rPr>
          <w:b/>
          <w:lang w:val="es-MX"/>
        </w:rPr>
      </w:pPr>
      <w:r w:rsidRPr="00253E46">
        <w:rPr>
          <w:b/>
          <w:lang w:val="es-MX"/>
        </w:rPr>
        <w:t>Composición de la Deuda Pública en Quetzales y Moneda Extranjera</w:t>
      </w:r>
    </w:p>
    <w:p w:rsidR="00011502" w:rsidRPr="00124AD6" w:rsidRDefault="00011502" w:rsidP="00011502">
      <w:pPr>
        <w:jc w:val="center"/>
        <w:rPr>
          <w:lang w:val="es-MX"/>
        </w:rPr>
      </w:pPr>
      <w:r>
        <w:rPr>
          <w:noProof/>
          <w:lang w:val="es-GT" w:eastAsia="es-GT"/>
        </w:rPr>
        <w:drawing>
          <wp:inline distT="0" distB="0" distL="0" distR="0" wp14:anchorId="23C7FEDB" wp14:editId="4A88E6C2">
            <wp:extent cx="2750515" cy="1609344"/>
            <wp:effectExtent l="0" t="0" r="0" b="0"/>
            <wp:docPr id="25" name="Gráfico 2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62542D2E-1156-4255-BB53-06D0FD0AF3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011502" w:rsidRDefault="00011502" w:rsidP="00011502">
      <w:pPr>
        <w:ind w:firstLine="567"/>
        <w:rPr>
          <w:sz w:val="16"/>
          <w:lang w:val="es-MX"/>
        </w:rPr>
      </w:pPr>
      <w:r>
        <w:rPr>
          <w:sz w:val="16"/>
          <w:lang w:val="es-MX"/>
        </w:rPr>
        <w:t xml:space="preserve">                       </w:t>
      </w:r>
      <w:r w:rsidR="00040E5B">
        <w:rPr>
          <w:sz w:val="16"/>
          <w:lang w:val="es-MX"/>
        </w:rPr>
        <w:t xml:space="preserve">          </w:t>
      </w:r>
      <w:r w:rsidR="0065502C">
        <w:rPr>
          <w:sz w:val="16"/>
          <w:lang w:val="es-MX"/>
        </w:rPr>
        <w:t xml:space="preserve">              </w:t>
      </w:r>
      <w:r w:rsidR="00040E5B">
        <w:rPr>
          <w:sz w:val="16"/>
          <w:lang w:val="es-MX"/>
        </w:rPr>
        <w:t xml:space="preserve">                  </w:t>
      </w:r>
      <w:r>
        <w:rPr>
          <w:sz w:val="16"/>
          <w:lang w:val="es-MX"/>
        </w:rPr>
        <w:t xml:space="preserve">         </w:t>
      </w:r>
      <w:r w:rsidRPr="0046725D">
        <w:rPr>
          <w:sz w:val="16"/>
          <w:lang w:val="es-MX"/>
        </w:rPr>
        <w:t>Fuente: Ministerio de Finanzas Públicas</w:t>
      </w:r>
      <w:r>
        <w:rPr>
          <w:sz w:val="16"/>
          <w:lang w:val="es-MX"/>
        </w:rPr>
        <w:t>.</w:t>
      </w:r>
    </w:p>
    <w:p w:rsidR="005432D7" w:rsidRDefault="005432D7" w:rsidP="00011502">
      <w:pPr>
        <w:jc w:val="center"/>
        <w:rPr>
          <w:b/>
          <w:lang w:val="es-MX"/>
        </w:rPr>
      </w:pPr>
    </w:p>
    <w:p w:rsidR="00011502" w:rsidRPr="002C4C3E" w:rsidRDefault="00040E5B" w:rsidP="00011502">
      <w:pPr>
        <w:jc w:val="center"/>
        <w:rPr>
          <w:b/>
          <w:lang w:val="es-MX"/>
        </w:rPr>
      </w:pPr>
      <w:r>
        <w:rPr>
          <w:b/>
          <w:lang w:val="es-MX"/>
        </w:rPr>
        <w:t>Gráfica 15</w:t>
      </w:r>
    </w:p>
    <w:p w:rsidR="00011502" w:rsidRPr="00BD6097" w:rsidRDefault="00011502" w:rsidP="00011502">
      <w:pPr>
        <w:jc w:val="center"/>
        <w:rPr>
          <w:b/>
          <w:lang w:val="es-MX"/>
        </w:rPr>
      </w:pPr>
      <w:r w:rsidRPr="00BD6097">
        <w:rPr>
          <w:b/>
          <w:lang w:val="es-MX"/>
        </w:rPr>
        <w:t>Composición de la Deuda Pública en Bonos y en Préstamos</w:t>
      </w:r>
    </w:p>
    <w:p w:rsidR="00011502" w:rsidRPr="0046725D" w:rsidRDefault="00011502" w:rsidP="00040E5B">
      <w:pPr>
        <w:ind w:firstLine="567"/>
        <w:jc w:val="center"/>
        <w:rPr>
          <w:sz w:val="16"/>
          <w:lang w:val="es-MX"/>
        </w:rPr>
      </w:pPr>
      <w:r>
        <w:rPr>
          <w:noProof/>
          <w:lang w:val="es-GT" w:eastAsia="es-GT"/>
        </w:rPr>
        <w:drawing>
          <wp:inline distT="0" distB="0" distL="0" distR="0" wp14:anchorId="01097A18" wp14:editId="639DA77C">
            <wp:extent cx="2933395" cy="1616659"/>
            <wp:effectExtent l="0" t="0" r="635" b="3175"/>
            <wp:docPr id="26" name="Gráfico 2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CBBC02E-768B-42D0-BB5B-E92966FA61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040E5B" w:rsidRDefault="00040E5B" w:rsidP="00040E5B">
      <w:pPr>
        <w:ind w:firstLine="567"/>
        <w:rPr>
          <w:sz w:val="16"/>
          <w:lang w:val="es-MX"/>
        </w:rPr>
      </w:pPr>
      <w:r>
        <w:rPr>
          <w:sz w:val="16"/>
          <w:lang w:val="es-MX"/>
        </w:rPr>
        <w:t xml:space="preserve">                                      </w:t>
      </w:r>
      <w:r w:rsidR="0065502C">
        <w:rPr>
          <w:sz w:val="16"/>
          <w:lang w:val="es-MX"/>
        </w:rPr>
        <w:t xml:space="preserve">         </w:t>
      </w:r>
      <w:r>
        <w:rPr>
          <w:sz w:val="16"/>
          <w:lang w:val="es-MX"/>
        </w:rPr>
        <w:t xml:space="preserve">                                </w:t>
      </w:r>
      <w:r w:rsidRPr="0046725D">
        <w:rPr>
          <w:sz w:val="16"/>
          <w:lang w:val="es-MX"/>
        </w:rPr>
        <w:t>Fuente: Ministerio de Finanzas Públicas</w:t>
      </w:r>
      <w:r>
        <w:rPr>
          <w:sz w:val="16"/>
          <w:lang w:val="es-MX"/>
        </w:rPr>
        <w:t>.</w:t>
      </w:r>
    </w:p>
    <w:p w:rsidR="00011502" w:rsidRDefault="00011502" w:rsidP="00011502">
      <w:pPr>
        <w:rPr>
          <w:b/>
          <w:bCs/>
          <w:lang w:val="es-MX"/>
        </w:rPr>
      </w:pPr>
    </w:p>
    <w:p w:rsidR="005432D7" w:rsidRPr="00040E5B" w:rsidRDefault="005432D7" w:rsidP="00011502">
      <w:pPr>
        <w:rPr>
          <w:b/>
          <w:bCs/>
          <w:lang w:val="es-MX"/>
        </w:rPr>
      </w:pPr>
    </w:p>
    <w:p w:rsidR="00040E5B" w:rsidRDefault="00040E5B" w:rsidP="00011502">
      <w:pPr>
        <w:rPr>
          <w:b/>
          <w:bCs/>
        </w:rPr>
      </w:pPr>
    </w:p>
    <w:p w:rsidR="00011502" w:rsidRDefault="00011502" w:rsidP="00011502">
      <w:pPr>
        <w:jc w:val="both"/>
        <w:rPr>
          <w:bCs/>
        </w:rPr>
      </w:pPr>
      <w:r>
        <w:rPr>
          <w:bCs/>
        </w:rPr>
        <w:t xml:space="preserve">El </w:t>
      </w:r>
      <w:r w:rsidR="00030AE6">
        <w:rPr>
          <w:bCs/>
        </w:rPr>
        <w:t xml:space="preserve">resultado </w:t>
      </w:r>
      <w:r>
        <w:rPr>
          <w:bCs/>
        </w:rPr>
        <w:t>presupuest</w:t>
      </w:r>
      <w:r w:rsidR="00030AE6">
        <w:rPr>
          <w:bCs/>
        </w:rPr>
        <w:t>ario</w:t>
      </w:r>
      <w:r>
        <w:rPr>
          <w:bCs/>
        </w:rPr>
        <w:t xml:space="preserve"> del </w:t>
      </w:r>
      <w:r w:rsidR="00D01337">
        <w:rPr>
          <w:bCs/>
        </w:rPr>
        <w:t>E</w:t>
      </w:r>
      <w:r>
        <w:rPr>
          <w:bCs/>
        </w:rPr>
        <w:t xml:space="preserve">jercicio </w:t>
      </w:r>
      <w:r w:rsidR="00D01337">
        <w:rPr>
          <w:bCs/>
        </w:rPr>
        <w:t>F</w:t>
      </w:r>
      <w:r>
        <w:rPr>
          <w:bCs/>
        </w:rPr>
        <w:t xml:space="preserve">iscal 2019 fue financiado con recursos provenientes de fuentes externas (préstamos) y fuentes internas (bonos). </w:t>
      </w:r>
      <w:r w:rsidRPr="00592A53">
        <w:rPr>
          <w:bCs/>
          <w:color w:val="000000" w:themeColor="text1"/>
        </w:rPr>
        <w:t>Según el Decreto No. 25-2018 del Congreso de la República de Guatemala</w:t>
      </w:r>
      <w:r w:rsidR="00030AE6">
        <w:rPr>
          <w:bCs/>
          <w:color w:val="000000" w:themeColor="text1"/>
        </w:rPr>
        <w:t>,</w:t>
      </w:r>
      <w:r>
        <w:rPr>
          <w:bCs/>
          <w:color w:val="000000" w:themeColor="text1"/>
        </w:rPr>
        <w:t xml:space="preserve"> </w:t>
      </w:r>
      <w:r w:rsidRPr="00592A53">
        <w:rPr>
          <w:bCs/>
          <w:color w:val="000000" w:themeColor="text1"/>
        </w:rPr>
        <w:t>Ley de</w:t>
      </w:r>
      <w:r w:rsidR="00030AE6">
        <w:rPr>
          <w:bCs/>
          <w:color w:val="000000" w:themeColor="text1"/>
        </w:rPr>
        <w:t>l</w:t>
      </w:r>
      <w:r w:rsidRPr="00592A53">
        <w:rPr>
          <w:bCs/>
          <w:color w:val="000000" w:themeColor="text1"/>
        </w:rPr>
        <w:t xml:space="preserve"> Presupuesto General de Ingresos y Egresos del Estado para el Ejercicio Fiscal 2019</w:t>
      </w:r>
      <w:r>
        <w:rPr>
          <w:bCs/>
        </w:rPr>
        <w:t>, en el cual se plasmó un presupuesto de deuda aprobado de Q</w:t>
      </w:r>
      <w:r w:rsidR="00030AE6">
        <w:rPr>
          <w:bCs/>
        </w:rPr>
        <w:t>.</w:t>
      </w:r>
      <w:r>
        <w:rPr>
          <w:bCs/>
        </w:rPr>
        <w:t>15,800.2 millones, integrados de la siguiente manera: a) recursos de préstamos Q</w:t>
      </w:r>
      <w:r w:rsidR="00030AE6">
        <w:rPr>
          <w:bCs/>
        </w:rPr>
        <w:t>.</w:t>
      </w:r>
      <w:r>
        <w:rPr>
          <w:bCs/>
        </w:rPr>
        <w:t xml:space="preserve">1,592.6 millones y b) recursos a provenientes de la colocación de bonos </w:t>
      </w:r>
      <w:r w:rsidR="00030AE6">
        <w:rPr>
          <w:bCs/>
        </w:rPr>
        <w:t>del tesoro</w:t>
      </w:r>
      <w:r>
        <w:rPr>
          <w:bCs/>
        </w:rPr>
        <w:t xml:space="preserve"> Q</w:t>
      </w:r>
      <w:r w:rsidR="00030AE6">
        <w:rPr>
          <w:bCs/>
        </w:rPr>
        <w:t>.</w:t>
      </w:r>
      <w:r>
        <w:rPr>
          <w:bCs/>
        </w:rPr>
        <w:t>14,207.6 millones</w:t>
      </w:r>
      <w:r w:rsidR="00030AE6">
        <w:rPr>
          <w:bCs/>
        </w:rPr>
        <w:t xml:space="preserve">. La ejecución de esos recursos corresponde en </w:t>
      </w:r>
      <w:r>
        <w:rPr>
          <w:bCs/>
        </w:rPr>
        <w:t>Q</w:t>
      </w:r>
      <w:r w:rsidR="00030AE6">
        <w:rPr>
          <w:bCs/>
        </w:rPr>
        <w:t>.</w:t>
      </w:r>
      <w:r>
        <w:rPr>
          <w:bCs/>
        </w:rPr>
        <w:t>9,892.6 millones en préstamos, incluye la colocación de Eurobonos y Q</w:t>
      </w:r>
      <w:r w:rsidR="00DD74DE">
        <w:rPr>
          <w:bCs/>
        </w:rPr>
        <w:t>.</w:t>
      </w:r>
      <w:r>
        <w:rPr>
          <w:bCs/>
        </w:rPr>
        <w:t>4,866.2 millones de colocación de</w:t>
      </w:r>
      <w:r w:rsidR="00DD74DE">
        <w:rPr>
          <w:bCs/>
        </w:rPr>
        <w:t xml:space="preserve"> bonos en el mercado doméstico.</w:t>
      </w:r>
    </w:p>
    <w:p w:rsidR="00011502" w:rsidRDefault="00011502" w:rsidP="00011502">
      <w:pPr>
        <w:jc w:val="both"/>
        <w:rPr>
          <w:bCs/>
        </w:rPr>
      </w:pPr>
    </w:p>
    <w:p w:rsidR="00011502" w:rsidRDefault="00011502" w:rsidP="00011502">
      <w:pPr>
        <w:jc w:val="both"/>
        <w:rPr>
          <w:bCs/>
        </w:rPr>
      </w:pPr>
    </w:p>
    <w:p w:rsidR="00011502" w:rsidRPr="00C10496" w:rsidRDefault="00011502" w:rsidP="00011502">
      <w:pPr>
        <w:jc w:val="center"/>
        <w:rPr>
          <w:b/>
        </w:rPr>
      </w:pPr>
      <w:r w:rsidRPr="00C10496">
        <w:rPr>
          <w:b/>
        </w:rPr>
        <w:t>Cuadro 4</w:t>
      </w:r>
    </w:p>
    <w:p w:rsidR="00011502" w:rsidRPr="00C10496" w:rsidRDefault="00011502" w:rsidP="00011502">
      <w:pPr>
        <w:jc w:val="center"/>
        <w:rPr>
          <w:b/>
        </w:rPr>
      </w:pPr>
      <w:r w:rsidRPr="00C10496">
        <w:rPr>
          <w:b/>
        </w:rPr>
        <w:t xml:space="preserve">Financiamiento del </w:t>
      </w:r>
      <w:r w:rsidR="00950730">
        <w:rPr>
          <w:b/>
        </w:rPr>
        <w:t xml:space="preserve">Resultado </w:t>
      </w:r>
      <w:r w:rsidRPr="00C10496">
        <w:rPr>
          <w:b/>
        </w:rPr>
        <w:t>Presupuest</w:t>
      </w:r>
      <w:r w:rsidR="00950730">
        <w:rPr>
          <w:b/>
        </w:rPr>
        <w:t>ario</w:t>
      </w:r>
      <w:r w:rsidRPr="00C10496">
        <w:rPr>
          <w:b/>
        </w:rPr>
        <w:t xml:space="preserve"> 201</w:t>
      </w:r>
      <w:r w:rsidR="0011363F">
        <w:rPr>
          <w:b/>
        </w:rPr>
        <w:t>9*</w:t>
      </w:r>
    </w:p>
    <w:p w:rsidR="00011502" w:rsidRDefault="00011502" w:rsidP="00011502">
      <w:pPr>
        <w:jc w:val="center"/>
        <w:rPr>
          <w:rFonts w:ascii="Calibri" w:eastAsia="Calibri" w:hAnsi="Calibri"/>
          <w:sz w:val="20"/>
          <w:szCs w:val="20"/>
          <w:lang w:val="es-GT" w:eastAsia="es-GT"/>
        </w:rPr>
      </w:pPr>
      <w:r w:rsidRPr="00C10496">
        <w:rPr>
          <w:b/>
        </w:rPr>
        <w:t>(Millones de Quetzales)</w:t>
      </w:r>
      <w:bookmarkStart w:id="13" w:name="_Hlk32399693"/>
      <w:r>
        <w:rPr>
          <w:b/>
        </w:rPr>
        <w:fldChar w:fldCharType="begin"/>
      </w:r>
      <w:r>
        <w:rPr>
          <w:b/>
        </w:rPr>
        <w:instrText xml:space="preserve"> LINK Excel.Sheet.12 "C:\\Users\\deefoper12\\Documents\\Mis Documentos\\2020\\DTF\\memoria de labores 2019\\Cuadros para cierre 2019.xlsx" "Financiamiento!F7C3:F11C7" \a \f 4 \h  \* MERGEFORMAT </w:instrText>
      </w:r>
      <w:r>
        <w:rPr>
          <w:b/>
        </w:rPr>
        <w:fldChar w:fldCharType="separate"/>
      </w:r>
    </w:p>
    <w:tbl>
      <w:tblPr>
        <w:tblW w:w="8908" w:type="dxa"/>
        <w:tblInd w:w="70" w:type="dxa"/>
        <w:tblCellMar>
          <w:left w:w="70" w:type="dxa"/>
          <w:right w:w="70" w:type="dxa"/>
        </w:tblCellMar>
        <w:tblLook w:val="04A0" w:firstRow="1" w:lastRow="0" w:firstColumn="1" w:lastColumn="0" w:noHBand="0" w:noVBand="1"/>
      </w:tblPr>
      <w:tblGrid>
        <w:gridCol w:w="2354"/>
        <w:gridCol w:w="1658"/>
        <w:gridCol w:w="1800"/>
        <w:gridCol w:w="1559"/>
        <w:gridCol w:w="1537"/>
      </w:tblGrid>
      <w:tr w:rsidR="00011502" w:rsidRPr="00C10496" w:rsidTr="005432D7">
        <w:trPr>
          <w:trHeight w:val="481"/>
        </w:trPr>
        <w:tc>
          <w:tcPr>
            <w:tcW w:w="2354" w:type="dxa"/>
            <w:vMerge w:val="restart"/>
            <w:tcBorders>
              <w:top w:val="single" w:sz="8" w:space="0" w:color="auto"/>
              <w:left w:val="single" w:sz="8" w:space="0" w:color="auto"/>
              <w:bottom w:val="single" w:sz="8" w:space="0" w:color="000000"/>
              <w:right w:val="single" w:sz="4" w:space="0" w:color="auto"/>
            </w:tcBorders>
            <w:shd w:val="clear" w:color="000000" w:fill="8DB4E2"/>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Concepto</w:t>
            </w:r>
          </w:p>
        </w:tc>
        <w:tc>
          <w:tcPr>
            <w:tcW w:w="3458" w:type="dxa"/>
            <w:gridSpan w:val="2"/>
            <w:tcBorders>
              <w:top w:val="single" w:sz="8" w:space="0" w:color="auto"/>
              <w:left w:val="single" w:sz="4" w:space="0" w:color="auto"/>
              <w:bottom w:val="single" w:sz="4" w:space="0" w:color="auto"/>
              <w:right w:val="single" w:sz="4" w:space="0" w:color="000000"/>
            </w:tcBorders>
            <w:shd w:val="clear" w:color="000000" w:fill="8DB4E2"/>
            <w:noWrap/>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Presupuesto</w:t>
            </w:r>
          </w:p>
        </w:tc>
        <w:tc>
          <w:tcPr>
            <w:tcW w:w="3096" w:type="dxa"/>
            <w:gridSpan w:val="2"/>
            <w:tcBorders>
              <w:top w:val="single" w:sz="8" w:space="0" w:color="auto"/>
              <w:left w:val="single" w:sz="4" w:space="0" w:color="auto"/>
              <w:bottom w:val="single" w:sz="4" w:space="0" w:color="auto"/>
              <w:right w:val="single" w:sz="8" w:space="0" w:color="000000"/>
            </w:tcBorders>
            <w:shd w:val="clear" w:color="000000" w:fill="8DB4E2"/>
            <w:noWrap/>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Variación</w:t>
            </w:r>
          </w:p>
        </w:tc>
      </w:tr>
      <w:tr w:rsidR="00011502" w:rsidRPr="00C10496" w:rsidTr="005432D7">
        <w:trPr>
          <w:trHeight w:val="573"/>
        </w:trPr>
        <w:tc>
          <w:tcPr>
            <w:tcW w:w="2354" w:type="dxa"/>
            <w:vMerge/>
            <w:tcBorders>
              <w:top w:val="single" w:sz="8" w:space="0" w:color="auto"/>
              <w:left w:val="single" w:sz="8" w:space="0" w:color="auto"/>
              <w:bottom w:val="single" w:sz="8" w:space="0" w:color="000000"/>
              <w:right w:val="single" w:sz="4" w:space="0" w:color="auto"/>
            </w:tcBorders>
            <w:vAlign w:val="center"/>
            <w:hideMark/>
          </w:tcPr>
          <w:p w:rsidR="00011502" w:rsidRPr="00C10496" w:rsidRDefault="00011502" w:rsidP="00011502">
            <w:pPr>
              <w:rPr>
                <w:b/>
                <w:bCs/>
                <w:color w:val="000000"/>
                <w:szCs w:val="32"/>
                <w:lang w:val="es-GT" w:eastAsia="es-GT"/>
              </w:rPr>
            </w:pPr>
          </w:p>
        </w:tc>
        <w:tc>
          <w:tcPr>
            <w:tcW w:w="1658" w:type="dxa"/>
            <w:tcBorders>
              <w:top w:val="single" w:sz="4" w:space="0" w:color="auto"/>
              <w:left w:val="nil"/>
              <w:bottom w:val="single" w:sz="8" w:space="0" w:color="auto"/>
              <w:right w:val="nil"/>
            </w:tcBorders>
            <w:shd w:val="clear" w:color="000000" w:fill="8DB4E2"/>
            <w:noWrap/>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Aprobado</w:t>
            </w:r>
          </w:p>
        </w:tc>
        <w:tc>
          <w:tcPr>
            <w:tcW w:w="1800" w:type="dxa"/>
            <w:tcBorders>
              <w:top w:val="single" w:sz="4" w:space="0" w:color="auto"/>
              <w:left w:val="nil"/>
              <w:bottom w:val="single" w:sz="8" w:space="0" w:color="auto"/>
              <w:right w:val="single" w:sz="4" w:space="0" w:color="auto"/>
            </w:tcBorders>
            <w:shd w:val="clear" w:color="000000" w:fill="8DB4E2"/>
            <w:noWrap/>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Ejecutado</w:t>
            </w:r>
          </w:p>
        </w:tc>
        <w:tc>
          <w:tcPr>
            <w:tcW w:w="1559" w:type="dxa"/>
            <w:tcBorders>
              <w:top w:val="nil"/>
              <w:left w:val="single" w:sz="4" w:space="0" w:color="auto"/>
              <w:bottom w:val="single" w:sz="8" w:space="0" w:color="auto"/>
              <w:right w:val="nil"/>
            </w:tcBorders>
            <w:shd w:val="clear" w:color="000000" w:fill="8DB4E2"/>
            <w:noWrap/>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Absoluta</w:t>
            </w:r>
          </w:p>
        </w:tc>
        <w:tc>
          <w:tcPr>
            <w:tcW w:w="1537" w:type="dxa"/>
            <w:tcBorders>
              <w:top w:val="nil"/>
              <w:left w:val="nil"/>
              <w:bottom w:val="single" w:sz="8" w:space="0" w:color="auto"/>
              <w:right w:val="single" w:sz="8" w:space="0" w:color="auto"/>
            </w:tcBorders>
            <w:shd w:val="clear" w:color="000000" w:fill="8DB4E2"/>
            <w:noWrap/>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Relativa</w:t>
            </w:r>
          </w:p>
        </w:tc>
      </w:tr>
      <w:tr w:rsidR="00011502" w:rsidRPr="00C10496" w:rsidTr="0011363F">
        <w:trPr>
          <w:trHeight w:val="450"/>
        </w:trPr>
        <w:tc>
          <w:tcPr>
            <w:tcW w:w="2354" w:type="dxa"/>
            <w:tcBorders>
              <w:top w:val="nil"/>
              <w:left w:val="single" w:sz="8" w:space="0" w:color="auto"/>
              <w:bottom w:val="nil"/>
              <w:right w:val="single" w:sz="4" w:space="0" w:color="auto"/>
            </w:tcBorders>
            <w:shd w:val="clear" w:color="000000" w:fill="FFFFFF"/>
            <w:noWrap/>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Total</w:t>
            </w:r>
          </w:p>
        </w:tc>
        <w:tc>
          <w:tcPr>
            <w:tcW w:w="1658" w:type="dxa"/>
            <w:tcBorders>
              <w:top w:val="nil"/>
              <w:left w:val="single" w:sz="4" w:space="0" w:color="auto"/>
              <w:bottom w:val="nil"/>
              <w:right w:val="nil"/>
            </w:tcBorders>
            <w:shd w:val="clear" w:color="000000" w:fill="FFFFFF"/>
            <w:noWrap/>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15,800.2</w:t>
            </w:r>
          </w:p>
        </w:tc>
        <w:tc>
          <w:tcPr>
            <w:tcW w:w="1800" w:type="dxa"/>
            <w:tcBorders>
              <w:top w:val="nil"/>
              <w:left w:val="nil"/>
              <w:bottom w:val="nil"/>
              <w:right w:val="single" w:sz="4" w:space="0" w:color="auto"/>
            </w:tcBorders>
            <w:shd w:val="clear" w:color="000000" w:fill="FFFFFF"/>
            <w:noWrap/>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14,758.7</w:t>
            </w:r>
          </w:p>
        </w:tc>
        <w:tc>
          <w:tcPr>
            <w:tcW w:w="1559" w:type="dxa"/>
            <w:tcBorders>
              <w:top w:val="nil"/>
              <w:left w:val="nil"/>
              <w:bottom w:val="nil"/>
              <w:right w:val="nil"/>
            </w:tcBorders>
            <w:shd w:val="clear" w:color="000000" w:fill="FFFFFF"/>
            <w:noWrap/>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1,041.5</w:t>
            </w:r>
          </w:p>
        </w:tc>
        <w:tc>
          <w:tcPr>
            <w:tcW w:w="1537" w:type="dxa"/>
            <w:tcBorders>
              <w:top w:val="nil"/>
              <w:left w:val="nil"/>
              <w:bottom w:val="nil"/>
              <w:right w:val="single" w:sz="8" w:space="0" w:color="auto"/>
            </w:tcBorders>
            <w:shd w:val="clear" w:color="000000" w:fill="FFFFFF"/>
            <w:noWrap/>
            <w:vAlign w:val="center"/>
            <w:hideMark/>
          </w:tcPr>
          <w:p w:rsidR="00011502" w:rsidRPr="00C10496" w:rsidRDefault="00011502" w:rsidP="00011502">
            <w:pPr>
              <w:jc w:val="center"/>
              <w:rPr>
                <w:b/>
                <w:bCs/>
                <w:color w:val="000000"/>
                <w:szCs w:val="32"/>
                <w:lang w:val="es-GT" w:eastAsia="es-GT"/>
              </w:rPr>
            </w:pPr>
            <w:r w:rsidRPr="00C10496">
              <w:rPr>
                <w:b/>
                <w:bCs/>
                <w:color w:val="000000"/>
                <w:szCs w:val="32"/>
                <w:lang w:val="es-GT" w:eastAsia="es-GT"/>
              </w:rPr>
              <w:t>93.4%</w:t>
            </w:r>
          </w:p>
        </w:tc>
      </w:tr>
      <w:tr w:rsidR="00011502" w:rsidRPr="00C10496" w:rsidTr="0011363F">
        <w:trPr>
          <w:trHeight w:val="450"/>
        </w:trPr>
        <w:tc>
          <w:tcPr>
            <w:tcW w:w="2354" w:type="dxa"/>
            <w:tcBorders>
              <w:top w:val="nil"/>
              <w:left w:val="single" w:sz="8" w:space="0" w:color="auto"/>
              <w:bottom w:val="nil"/>
              <w:right w:val="single" w:sz="4" w:space="0" w:color="auto"/>
            </w:tcBorders>
            <w:shd w:val="clear" w:color="000000" w:fill="FFFFFF"/>
            <w:noWrap/>
            <w:vAlign w:val="center"/>
            <w:hideMark/>
          </w:tcPr>
          <w:p w:rsidR="00011502" w:rsidRPr="00C10496" w:rsidRDefault="00011502" w:rsidP="0011363F">
            <w:pPr>
              <w:rPr>
                <w:color w:val="000000"/>
                <w:szCs w:val="32"/>
                <w:lang w:val="es-GT" w:eastAsia="es-GT"/>
              </w:rPr>
            </w:pPr>
            <w:r w:rsidRPr="00C10496">
              <w:rPr>
                <w:color w:val="000000"/>
                <w:szCs w:val="32"/>
                <w:lang w:val="es-GT" w:eastAsia="es-GT"/>
              </w:rPr>
              <w:t>Pr</w:t>
            </w:r>
            <w:r w:rsidR="0011363F">
              <w:rPr>
                <w:color w:val="000000"/>
                <w:szCs w:val="32"/>
                <w:lang w:val="es-GT" w:eastAsia="es-GT"/>
              </w:rPr>
              <w:t>é</w:t>
            </w:r>
            <w:r w:rsidRPr="00C10496">
              <w:rPr>
                <w:color w:val="000000"/>
                <w:szCs w:val="32"/>
                <w:lang w:val="es-GT" w:eastAsia="es-GT"/>
              </w:rPr>
              <w:t>stamos</w:t>
            </w:r>
          </w:p>
        </w:tc>
        <w:tc>
          <w:tcPr>
            <w:tcW w:w="1658" w:type="dxa"/>
            <w:tcBorders>
              <w:top w:val="nil"/>
              <w:left w:val="single" w:sz="4" w:space="0" w:color="auto"/>
              <w:bottom w:val="nil"/>
              <w:right w:val="nil"/>
            </w:tcBorders>
            <w:shd w:val="clear" w:color="000000" w:fill="FFFFFF"/>
            <w:noWrap/>
            <w:vAlign w:val="center"/>
            <w:hideMark/>
          </w:tcPr>
          <w:p w:rsidR="00011502" w:rsidRPr="00C10496" w:rsidRDefault="00011502" w:rsidP="00011502">
            <w:pPr>
              <w:jc w:val="center"/>
              <w:rPr>
                <w:color w:val="000000"/>
                <w:szCs w:val="32"/>
                <w:lang w:val="es-GT" w:eastAsia="es-GT"/>
              </w:rPr>
            </w:pPr>
            <w:r w:rsidRPr="00C10496">
              <w:rPr>
                <w:color w:val="000000"/>
                <w:szCs w:val="32"/>
                <w:lang w:val="es-GT" w:eastAsia="es-GT"/>
              </w:rPr>
              <w:t>1,592.6</w:t>
            </w:r>
          </w:p>
        </w:tc>
        <w:tc>
          <w:tcPr>
            <w:tcW w:w="1800" w:type="dxa"/>
            <w:tcBorders>
              <w:top w:val="nil"/>
              <w:left w:val="nil"/>
              <w:bottom w:val="nil"/>
              <w:right w:val="single" w:sz="4" w:space="0" w:color="auto"/>
            </w:tcBorders>
            <w:shd w:val="clear" w:color="000000" w:fill="FFFFFF"/>
            <w:noWrap/>
            <w:vAlign w:val="center"/>
            <w:hideMark/>
          </w:tcPr>
          <w:p w:rsidR="00011502" w:rsidRPr="00C10496" w:rsidRDefault="00011502" w:rsidP="00011502">
            <w:pPr>
              <w:jc w:val="center"/>
              <w:rPr>
                <w:color w:val="000000"/>
                <w:szCs w:val="32"/>
                <w:lang w:val="es-GT" w:eastAsia="es-GT"/>
              </w:rPr>
            </w:pPr>
            <w:r w:rsidRPr="00C10496">
              <w:rPr>
                <w:color w:val="000000"/>
                <w:szCs w:val="32"/>
                <w:lang w:val="es-GT" w:eastAsia="es-GT"/>
              </w:rPr>
              <w:t>9,892.6</w:t>
            </w:r>
          </w:p>
        </w:tc>
        <w:tc>
          <w:tcPr>
            <w:tcW w:w="1559" w:type="dxa"/>
            <w:tcBorders>
              <w:top w:val="nil"/>
              <w:left w:val="nil"/>
              <w:bottom w:val="nil"/>
              <w:right w:val="nil"/>
            </w:tcBorders>
            <w:shd w:val="clear" w:color="000000" w:fill="FFFFFF"/>
            <w:noWrap/>
            <w:vAlign w:val="center"/>
            <w:hideMark/>
          </w:tcPr>
          <w:p w:rsidR="00011502" w:rsidRPr="00C10496" w:rsidRDefault="00011502" w:rsidP="00011502">
            <w:pPr>
              <w:jc w:val="center"/>
              <w:rPr>
                <w:color w:val="000000"/>
                <w:szCs w:val="32"/>
                <w:lang w:val="es-GT" w:eastAsia="es-GT"/>
              </w:rPr>
            </w:pPr>
            <w:r w:rsidRPr="00C10496">
              <w:rPr>
                <w:color w:val="000000"/>
                <w:szCs w:val="32"/>
                <w:lang w:val="es-GT" w:eastAsia="es-GT"/>
              </w:rPr>
              <w:t>-8,300.0</w:t>
            </w:r>
          </w:p>
        </w:tc>
        <w:tc>
          <w:tcPr>
            <w:tcW w:w="1537" w:type="dxa"/>
            <w:tcBorders>
              <w:top w:val="nil"/>
              <w:left w:val="nil"/>
              <w:bottom w:val="nil"/>
              <w:right w:val="single" w:sz="8" w:space="0" w:color="auto"/>
            </w:tcBorders>
            <w:shd w:val="clear" w:color="000000" w:fill="FFFFFF"/>
            <w:noWrap/>
            <w:vAlign w:val="center"/>
            <w:hideMark/>
          </w:tcPr>
          <w:p w:rsidR="00011502" w:rsidRPr="00C10496" w:rsidRDefault="00011502" w:rsidP="00011502">
            <w:pPr>
              <w:jc w:val="center"/>
              <w:rPr>
                <w:color w:val="000000"/>
                <w:szCs w:val="32"/>
                <w:lang w:val="es-GT" w:eastAsia="es-GT"/>
              </w:rPr>
            </w:pPr>
            <w:r w:rsidRPr="00C10496">
              <w:rPr>
                <w:color w:val="000000"/>
                <w:szCs w:val="32"/>
                <w:lang w:val="es-GT" w:eastAsia="es-GT"/>
              </w:rPr>
              <w:t>621.2%</w:t>
            </w:r>
          </w:p>
        </w:tc>
      </w:tr>
      <w:tr w:rsidR="00011502" w:rsidRPr="00C10496" w:rsidTr="0011363F">
        <w:trPr>
          <w:trHeight w:val="450"/>
        </w:trPr>
        <w:tc>
          <w:tcPr>
            <w:tcW w:w="2354" w:type="dxa"/>
            <w:tcBorders>
              <w:top w:val="nil"/>
              <w:left w:val="single" w:sz="8" w:space="0" w:color="auto"/>
              <w:bottom w:val="single" w:sz="8" w:space="0" w:color="auto"/>
              <w:right w:val="single" w:sz="4" w:space="0" w:color="auto"/>
            </w:tcBorders>
            <w:shd w:val="clear" w:color="000000" w:fill="FFFFFF"/>
            <w:noWrap/>
            <w:vAlign w:val="center"/>
            <w:hideMark/>
          </w:tcPr>
          <w:p w:rsidR="00011502" w:rsidRPr="00C10496" w:rsidRDefault="00011502" w:rsidP="00011502">
            <w:pPr>
              <w:rPr>
                <w:color w:val="000000"/>
                <w:szCs w:val="32"/>
                <w:lang w:val="es-GT" w:eastAsia="es-GT"/>
              </w:rPr>
            </w:pPr>
            <w:r w:rsidRPr="00C10496">
              <w:rPr>
                <w:color w:val="000000"/>
                <w:szCs w:val="32"/>
                <w:lang w:val="es-GT" w:eastAsia="es-GT"/>
              </w:rPr>
              <w:t>Bonos</w:t>
            </w:r>
          </w:p>
        </w:tc>
        <w:tc>
          <w:tcPr>
            <w:tcW w:w="1658" w:type="dxa"/>
            <w:tcBorders>
              <w:top w:val="nil"/>
              <w:left w:val="single" w:sz="4" w:space="0" w:color="auto"/>
              <w:bottom w:val="single" w:sz="8" w:space="0" w:color="auto"/>
              <w:right w:val="nil"/>
            </w:tcBorders>
            <w:shd w:val="clear" w:color="000000" w:fill="FFFFFF"/>
            <w:noWrap/>
            <w:vAlign w:val="center"/>
            <w:hideMark/>
          </w:tcPr>
          <w:p w:rsidR="00011502" w:rsidRPr="00C10496" w:rsidRDefault="00011502" w:rsidP="00011502">
            <w:pPr>
              <w:jc w:val="center"/>
              <w:rPr>
                <w:color w:val="000000"/>
                <w:szCs w:val="32"/>
                <w:lang w:val="es-GT" w:eastAsia="es-GT"/>
              </w:rPr>
            </w:pPr>
            <w:r w:rsidRPr="00C10496">
              <w:rPr>
                <w:color w:val="000000"/>
                <w:szCs w:val="32"/>
                <w:lang w:val="es-GT" w:eastAsia="es-GT"/>
              </w:rPr>
              <w:t>14,207.6</w:t>
            </w:r>
          </w:p>
        </w:tc>
        <w:tc>
          <w:tcPr>
            <w:tcW w:w="1800" w:type="dxa"/>
            <w:tcBorders>
              <w:top w:val="nil"/>
              <w:left w:val="nil"/>
              <w:bottom w:val="single" w:sz="8" w:space="0" w:color="auto"/>
              <w:right w:val="single" w:sz="4" w:space="0" w:color="auto"/>
            </w:tcBorders>
            <w:shd w:val="clear" w:color="000000" w:fill="FFFFFF"/>
            <w:noWrap/>
            <w:vAlign w:val="center"/>
            <w:hideMark/>
          </w:tcPr>
          <w:p w:rsidR="00011502" w:rsidRPr="00C10496" w:rsidRDefault="00011502" w:rsidP="00011502">
            <w:pPr>
              <w:jc w:val="center"/>
              <w:rPr>
                <w:color w:val="000000"/>
                <w:szCs w:val="32"/>
                <w:lang w:val="es-GT" w:eastAsia="es-GT"/>
              </w:rPr>
            </w:pPr>
            <w:r w:rsidRPr="00C10496">
              <w:rPr>
                <w:color w:val="000000"/>
                <w:szCs w:val="32"/>
                <w:lang w:val="es-GT" w:eastAsia="es-GT"/>
              </w:rPr>
              <w:t>4,866.2</w:t>
            </w:r>
          </w:p>
        </w:tc>
        <w:tc>
          <w:tcPr>
            <w:tcW w:w="1559" w:type="dxa"/>
            <w:tcBorders>
              <w:top w:val="nil"/>
              <w:left w:val="nil"/>
              <w:bottom w:val="single" w:sz="8" w:space="0" w:color="auto"/>
              <w:right w:val="nil"/>
            </w:tcBorders>
            <w:shd w:val="clear" w:color="000000" w:fill="FFFFFF"/>
            <w:noWrap/>
            <w:vAlign w:val="center"/>
            <w:hideMark/>
          </w:tcPr>
          <w:p w:rsidR="00011502" w:rsidRPr="00C10496" w:rsidRDefault="00011502" w:rsidP="00011502">
            <w:pPr>
              <w:jc w:val="center"/>
              <w:rPr>
                <w:color w:val="000000"/>
                <w:szCs w:val="32"/>
                <w:lang w:val="es-GT" w:eastAsia="es-GT"/>
              </w:rPr>
            </w:pPr>
            <w:r w:rsidRPr="00C10496">
              <w:rPr>
                <w:color w:val="000000"/>
                <w:szCs w:val="32"/>
                <w:lang w:val="es-GT" w:eastAsia="es-GT"/>
              </w:rPr>
              <w:t>9,341.5</w:t>
            </w:r>
          </w:p>
        </w:tc>
        <w:tc>
          <w:tcPr>
            <w:tcW w:w="1537" w:type="dxa"/>
            <w:tcBorders>
              <w:top w:val="nil"/>
              <w:left w:val="nil"/>
              <w:bottom w:val="single" w:sz="8" w:space="0" w:color="auto"/>
              <w:right w:val="single" w:sz="8" w:space="0" w:color="auto"/>
            </w:tcBorders>
            <w:shd w:val="clear" w:color="000000" w:fill="FFFFFF"/>
            <w:noWrap/>
            <w:vAlign w:val="center"/>
            <w:hideMark/>
          </w:tcPr>
          <w:p w:rsidR="00011502" w:rsidRPr="00C10496" w:rsidRDefault="00011502" w:rsidP="00011502">
            <w:pPr>
              <w:jc w:val="center"/>
              <w:rPr>
                <w:color w:val="000000"/>
                <w:szCs w:val="32"/>
                <w:lang w:val="es-GT" w:eastAsia="es-GT"/>
              </w:rPr>
            </w:pPr>
            <w:r w:rsidRPr="00C10496">
              <w:rPr>
                <w:color w:val="000000"/>
                <w:szCs w:val="32"/>
                <w:lang w:val="es-GT" w:eastAsia="es-GT"/>
              </w:rPr>
              <w:t>34.3%</w:t>
            </w:r>
          </w:p>
        </w:tc>
      </w:tr>
    </w:tbl>
    <w:p w:rsidR="0011363F" w:rsidRPr="0011363F" w:rsidRDefault="00011502" w:rsidP="0011363F">
      <w:pPr>
        <w:rPr>
          <w:sz w:val="18"/>
        </w:rPr>
      </w:pPr>
      <w:r>
        <w:rPr>
          <w:b/>
        </w:rPr>
        <w:fldChar w:fldCharType="end"/>
      </w:r>
      <w:bookmarkEnd w:id="13"/>
      <w:r w:rsidR="0011363F" w:rsidRPr="0011363F">
        <w:rPr>
          <w:sz w:val="18"/>
        </w:rPr>
        <w:t>*Cifras preliminares</w:t>
      </w:r>
    </w:p>
    <w:p w:rsidR="00011502" w:rsidRPr="0011363F" w:rsidRDefault="00011502" w:rsidP="0011363F">
      <w:pPr>
        <w:rPr>
          <w:sz w:val="18"/>
          <w:lang w:val="es-MX"/>
        </w:rPr>
      </w:pPr>
      <w:r w:rsidRPr="0011363F">
        <w:rPr>
          <w:sz w:val="18"/>
          <w:lang w:val="es-MX"/>
        </w:rPr>
        <w:t>Fuente: Ministerio de Finanzas Públicas.</w:t>
      </w:r>
    </w:p>
    <w:p w:rsidR="00011502" w:rsidRDefault="00011502" w:rsidP="0011363F">
      <w:pPr>
        <w:rPr>
          <w:bCs/>
          <w:sz w:val="28"/>
          <w:lang w:val="es-MX"/>
        </w:rPr>
      </w:pPr>
    </w:p>
    <w:p w:rsidR="005432D7" w:rsidRPr="0011363F" w:rsidRDefault="005432D7" w:rsidP="0011363F">
      <w:pPr>
        <w:rPr>
          <w:bCs/>
          <w:sz w:val="28"/>
          <w:lang w:val="es-MX"/>
        </w:rPr>
      </w:pPr>
    </w:p>
    <w:p w:rsidR="00011502" w:rsidRDefault="00011502" w:rsidP="00011502">
      <w:pPr>
        <w:jc w:val="both"/>
        <w:rPr>
          <w:bCs/>
        </w:rPr>
      </w:pPr>
    </w:p>
    <w:p w:rsidR="00CA664D" w:rsidRDefault="00CA664D" w:rsidP="00011502">
      <w:pPr>
        <w:jc w:val="both"/>
        <w:rPr>
          <w:bCs/>
        </w:rPr>
      </w:pPr>
    </w:p>
    <w:p w:rsidR="00CA664D" w:rsidRDefault="00CA664D" w:rsidP="00011502">
      <w:pPr>
        <w:jc w:val="both"/>
        <w:rPr>
          <w:bCs/>
        </w:rPr>
      </w:pPr>
    </w:p>
    <w:p w:rsidR="00D01337" w:rsidRDefault="00D01337" w:rsidP="00011502">
      <w:pPr>
        <w:jc w:val="both"/>
        <w:rPr>
          <w:bCs/>
        </w:rPr>
      </w:pPr>
    </w:p>
    <w:p w:rsidR="00D01337" w:rsidRDefault="00D01337" w:rsidP="00011502">
      <w:pPr>
        <w:jc w:val="both"/>
        <w:rPr>
          <w:bCs/>
        </w:rPr>
      </w:pPr>
    </w:p>
    <w:p w:rsidR="00011502" w:rsidRPr="00DD5A28" w:rsidRDefault="00011502" w:rsidP="00C774F3">
      <w:pPr>
        <w:pStyle w:val="Ttulo2"/>
        <w:numPr>
          <w:ilvl w:val="0"/>
          <w:numId w:val="3"/>
        </w:numPr>
        <w:spacing w:line="276" w:lineRule="auto"/>
        <w:ind w:left="567" w:hanging="567"/>
        <w:rPr>
          <w:rFonts w:ascii="Times New Roman" w:hAnsi="Times New Roman"/>
          <w:color w:val="auto"/>
          <w:sz w:val="24"/>
          <w:szCs w:val="24"/>
        </w:rPr>
      </w:pPr>
      <w:bookmarkStart w:id="14" w:name="_Toc32829791"/>
      <w:r w:rsidRPr="00DD5A28">
        <w:rPr>
          <w:rFonts w:ascii="Times New Roman" w:hAnsi="Times New Roman"/>
          <w:color w:val="auto"/>
          <w:sz w:val="24"/>
          <w:szCs w:val="24"/>
        </w:rPr>
        <w:t xml:space="preserve">Ejecución del </w:t>
      </w:r>
      <w:r>
        <w:rPr>
          <w:rFonts w:ascii="Times New Roman" w:hAnsi="Times New Roman"/>
          <w:color w:val="auto"/>
          <w:sz w:val="24"/>
          <w:szCs w:val="24"/>
        </w:rPr>
        <w:t>G</w:t>
      </w:r>
      <w:r w:rsidRPr="00DD5A28">
        <w:rPr>
          <w:rFonts w:ascii="Times New Roman" w:hAnsi="Times New Roman"/>
          <w:color w:val="auto"/>
          <w:sz w:val="24"/>
          <w:szCs w:val="24"/>
        </w:rPr>
        <w:t xml:space="preserve">asto </w:t>
      </w:r>
      <w:r>
        <w:rPr>
          <w:rFonts w:ascii="Times New Roman" w:hAnsi="Times New Roman"/>
          <w:color w:val="auto"/>
          <w:sz w:val="24"/>
          <w:szCs w:val="24"/>
        </w:rPr>
        <w:t>P</w:t>
      </w:r>
      <w:r w:rsidRPr="00DD5A28">
        <w:rPr>
          <w:rFonts w:ascii="Times New Roman" w:hAnsi="Times New Roman"/>
          <w:color w:val="auto"/>
          <w:sz w:val="24"/>
          <w:szCs w:val="24"/>
        </w:rPr>
        <w:t>úblico</w:t>
      </w:r>
      <w:bookmarkEnd w:id="14"/>
    </w:p>
    <w:p w:rsidR="00011502" w:rsidRPr="00D01337" w:rsidRDefault="00011502" w:rsidP="00011502">
      <w:pPr>
        <w:rPr>
          <w:sz w:val="28"/>
        </w:rPr>
      </w:pPr>
    </w:p>
    <w:p w:rsidR="00011502" w:rsidRDefault="00011502" w:rsidP="00011502">
      <w:pPr>
        <w:jc w:val="both"/>
      </w:pPr>
      <w:r>
        <w:t xml:space="preserve">El presupuesto </w:t>
      </w:r>
      <w:r w:rsidR="00CA664D">
        <w:t>aprobado</w:t>
      </w:r>
      <w:r>
        <w:t xml:space="preserve"> contemplaba un gasto total sin incluir amortizaciones de Q</w:t>
      </w:r>
      <w:r w:rsidR="00474AC5">
        <w:t>.</w:t>
      </w:r>
      <w:r>
        <w:t>83,750.7 millones y según las cifras observadas, la ejecución presupuestaria, de forma preliminar, fue de Q</w:t>
      </w:r>
      <w:r w:rsidR="00474AC5">
        <w:t>.</w:t>
      </w:r>
      <w:r>
        <w:t xml:space="preserve">79,836.5 millones, es decir, que la ejecución fue del 95.3% de lo estimado. La incidencia en la disminución se dio en los </w:t>
      </w:r>
      <w:r w:rsidR="00474AC5">
        <w:t>G</w:t>
      </w:r>
      <w:r>
        <w:t xml:space="preserve">astos </w:t>
      </w:r>
      <w:r w:rsidR="00474AC5">
        <w:t>C</w:t>
      </w:r>
      <w:r>
        <w:t>orrientes, que solo alcanzaron una ejecución del 94.1%, equivalente a una ejecución por debajo de lo estimado en Q</w:t>
      </w:r>
      <w:r w:rsidR="00474AC5">
        <w:t>.</w:t>
      </w:r>
      <w:r>
        <w:t xml:space="preserve">4,006.1 millones, en tanto que los </w:t>
      </w:r>
      <w:r w:rsidR="00474AC5">
        <w:t>G</w:t>
      </w:r>
      <w:r>
        <w:t xml:space="preserve">astos de </w:t>
      </w:r>
      <w:r w:rsidR="00474AC5">
        <w:t>C</w:t>
      </w:r>
      <w:r>
        <w:t>apital sobrepasaron la estimación en Q</w:t>
      </w:r>
      <w:r w:rsidR="00474AC5">
        <w:t>.</w:t>
      </w:r>
      <w:r>
        <w:t>91.9 millones, alcanzando una ejecución del 100.6%, tal como se observa en el cuadro de la Situación Financiera.</w:t>
      </w:r>
    </w:p>
    <w:p w:rsidR="00011502" w:rsidRPr="00D01337" w:rsidRDefault="00011502" w:rsidP="00011502">
      <w:pPr>
        <w:jc w:val="both"/>
        <w:rPr>
          <w:sz w:val="28"/>
        </w:rPr>
      </w:pPr>
    </w:p>
    <w:p w:rsidR="00011502" w:rsidRDefault="00011502" w:rsidP="00011502">
      <w:pPr>
        <w:jc w:val="both"/>
      </w:pPr>
      <w:r>
        <w:t xml:space="preserve">El presupuesto aprobado incluyó una serie de rigideces que afectaron sensiblemente la ejecución de algunos Ministerios, incidiendo negativamente en su desempeño, así como, </w:t>
      </w:r>
      <w:r w:rsidRPr="00253E46">
        <w:t>dificultades en la licitación y adjudicación de contratos de bienes y servicios y de obras públicas.</w:t>
      </w:r>
    </w:p>
    <w:p w:rsidR="00011502" w:rsidRPr="00D01337" w:rsidRDefault="00011502" w:rsidP="00011502">
      <w:pPr>
        <w:jc w:val="both"/>
        <w:rPr>
          <w:sz w:val="28"/>
        </w:rPr>
      </w:pPr>
    </w:p>
    <w:p w:rsidR="00011502" w:rsidRPr="00253E46" w:rsidRDefault="00011502" w:rsidP="00011502">
      <w:pPr>
        <w:jc w:val="both"/>
      </w:pPr>
      <w:r>
        <w:t>En cuanto a los ingresos corrientes estimados en el presupuesto aprobado, es importante hacer notar que al cierre preliminar existe una brecha de Q</w:t>
      </w:r>
      <w:r w:rsidR="00DB4E3D">
        <w:t>.</w:t>
      </w:r>
      <w:r>
        <w:t>2,005.5 millones. La composición de esta brecha se ubica en Q</w:t>
      </w:r>
      <w:r w:rsidR="00DB4E3D">
        <w:t>.</w:t>
      </w:r>
      <w:r>
        <w:t>1,434.1 millones menos en la recaudación de ingresos tributarios y en Q</w:t>
      </w:r>
      <w:r w:rsidR="00DB4E3D">
        <w:t>.</w:t>
      </w:r>
      <w:r>
        <w:t xml:space="preserve">571.4 millones menos en </w:t>
      </w:r>
      <w:r w:rsidR="00DB4E3D">
        <w:t>i</w:t>
      </w:r>
      <w:r>
        <w:t xml:space="preserve">ngresos </w:t>
      </w:r>
      <w:r w:rsidR="00DB4E3D">
        <w:t>n</w:t>
      </w:r>
      <w:r>
        <w:t xml:space="preserve">o </w:t>
      </w:r>
      <w:r w:rsidR="00DB4E3D">
        <w:t>t</w:t>
      </w:r>
      <w:r>
        <w:t xml:space="preserve">ributarios y </w:t>
      </w:r>
      <w:r w:rsidR="00DB4E3D">
        <w:t>t</w:t>
      </w:r>
      <w:r>
        <w:t>ransferencias</w:t>
      </w:r>
      <w:r w:rsidR="00DB4E3D">
        <w:t xml:space="preserve"> corrientes</w:t>
      </w:r>
      <w:r>
        <w:t>.</w:t>
      </w:r>
    </w:p>
    <w:p w:rsidR="00011502" w:rsidRPr="007A2761" w:rsidRDefault="00011502" w:rsidP="00011502">
      <w:pPr>
        <w:jc w:val="both"/>
        <w:rPr>
          <w:sz w:val="28"/>
          <w:szCs w:val="23"/>
        </w:rPr>
      </w:pPr>
    </w:p>
    <w:p w:rsidR="00011502" w:rsidRPr="00253E46" w:rsidRDefault="00011502" w:rsidP="00011502">
      <w:pPr>
        <w:jc w:val="both"/>
      </w:pPr>
      <w:r>
        <w:rPr>
          <w:lang w:val="es-GT"/>
        </w:rPr>
        <w:t xml:space="preserve">En lo referente a la brecha de la recaudación de ingresos tributarios, los impuestos directos se ubicaron por debajo </w:t>
      </w:r>
      <w:r w:rsidR="00DB4E3D">
        <w:rPr>
          <w:lang w:val="es-GT"/>
        </w:rPr>
        <w:t xml:space="preserve">de lo programado </w:t>
      </w:r>
      <w:r>
        <w:rPr>
          <w:lang w:val="es-GT"/>
        </w:rPr>
        <w:t>en Q</w:t>
      </w:r>
      <w:r w:rsidR="00DB4E3D">
        <w:rPr>
          <w:lang w:val="es-GT"/>
        </w:rPr>
        <w:t>.</w:t>
      </w:r>
      <w:r>
        <w:rPr>
          <w:lang w:val="es-GT"/>
        </w:rPr>
        <w:t>272.4 millones y los indirectos en Q</w:t>
      </w:r>
      <w:r w:rsidR="00DB4E3D">
        <w:rPr>
          <w:lang w:val="es-GT"/>
        </w:rPr>
        <w:t>.</w:t>
      </w:r>
      <w:r>
        <w:rPr>
          <w:lang w:val="es-GT"/>
        </w:rPr>
        <w:t>1,161.8 millones</w:t>
      </w:r>
      <w:r w:rsidRPr="00253E46">
        <w:t>.</w:t>
      </w:r>
    </w:p>
    <w:p w:rsidR="00011502" w:rsidRPr="007A2761" w:rsidRDefault="00011502" w:rsidP="00011502">
      <w:pPr>
        <w:jc w:val="both"/>
        <w:rPr>
          <w:sz w:val="28"/>
          <w:szCs w:val="23"/>
        </w:rPr>
      </w:pPr>
    </w:p>
    <w:p w:rsidR="00011502" w:rsidRPr="00253E46" w:rsidRDefault="00011502" w:rsidP="00011502">
      <w:pPr>
        <w:jc w:val="both"/>
      </w:pPr>
      <w:r>
        <w:t>El gasto público por cuenta económica, es decir, que no incluye amortizaciones de préstamos, amortizaciones de primas por colocaciones ni el costo de la política monetaria, establecido en el presupuesto fue de Q</w:t>
      </w:r>
      <w:r w:rsidR="00DB4E3D">
        <w:t>.</w:t>
      </w:r>
      <w:r>
        <w:t>83,750.7 millones, en tanto que la ejecución presupuestaria fue de Q</w:t>
      </w:r>
      <w:r w:rsidR="00DB4E3D">
        <w:t>.</w:t>
      </w:r>
      <w:r>
        <w:t>79,836.5 millones, equivalentes al 95.3%, por debajo en Q</w:t>
      </w:r>
      <w:r w:rsidR="00DB4E3D">
        <w:t>.</w:t>
      </w:r>
      <w:r>
        <w:t xml:space="preserve">3,914.2 millones, los cuales se vieron afectados principalmente por el gasto menor en lo referente al funcionamiento, en tanto que </w:t>
      </w:r>
      <w:r w:rsidR="00DB4E3D">
        <w:t>las asignaciones</w:t>
      </w:r>
      <w:r>
        <w:t xml:space="preserve"> destinad</w:t>
      </w:r>
      <w:r w:rsidR="00DB4E3D">
        <w:t>as</w:t>
      </w:r>
      <w:r>
        <w:t xml:space="preserve"> a los gastos de capital experimentaron un aumento de Q</w:t>
      </w:r>
      <w:r w:rsidR="00DB4E3D">
        <w:t>.</w:t>
      </w:r>
      <w:r>
        <w:t>91.9 millones, según las cifras observadas en el Si</w:t>
      </w:r>
      <w:r w:rsidR="00DB4E3D">
        <w:t>stema de Contabilidad Integrada (SICOIN)</w:t>
      </w:r>
      <w:r>
        <w:t xml:space="preserve">. </w:t>
      </w:r>
      <w:r w:rsidRPr="00253E46">
        <w:t xml:space="preserve">Asimismo, </w:t>
      </w:r>
      <w:r>
        <w:t xml:space="preserve">el gasto experimentó un leve crecimiento respecto </w:t>
      </w:r>
      <w:r w:rsidR="00DB4E3D">
        <w:t>de</w:t>
      </w:r>
      <w:r>
        <w:t>l PIB, al pasar de 13.3% en 2018 a 13.7% al cierre preliminar de 2019</w:t>
      </w:r>
      <w:r w:rsidRPr="00253E46">
        <w:t>.</w:t>
      </w:r>
    </w:p>
    <w:p w:rsidR="00011502" w:rsidRDefault="00011502" w:rsidP="00011502">
      <w:pPr>
        <w:jc w:val="both"/>
        <w:rPr>
          <w:sz w:val="23"/>
          <w:szCs w:val="23"/>
        </w:rPr>
      </w:pPr>
    </w:p>
    <w:p w:rsidR="00011502" w:rsidRDefault="00011502" w:rsidP="00011502">
      <w:pPr>
        <w:jc w:val="both"/>
        <w:rPr>
          <w:sz w:val="23"/>
          <w:szCs w:val="23"/>
        </w:rPr>
      </w:pPr>
    </w:p>
    <w:p w:rsidR="00CA664D" w:rsidRDefault="00CA664D" w:rsidP="00011502">
      <w:pPr>
        <w:jc w:val="both"/>
        <w:rPr>
          <w:sz w:val="23"/>
          <w:szCs w:val="23"/>
        </w:rPr>
      </w:pPr>
    </w:p>
    <w:p w:rsidR="00CA664D" w:rsidRDefault="00CA664D" w:rsidP="00011502">
      <w:pPr>
        <w:jc w:val="both"/>
        <w:rPr>
          <w:sz w:val="23"/>
          <w:szCs w:val="23"/>
        </w:rPr>
      </w:pPr>
    </w:p>
    <w:p w:rsidR="00CA664D" w:rsidRDefault="00CA664D" w:rsidP="00011502">
      <w:pPr>
        <w:jc w:val="both"/>
        <w:rPr>
          <w:sz w:val="23"/>
          <w:szCs w:val="23"/>
        </w:rPr>
      </w:pPr>
    </w:p>
    <w:p w:rsidR="00CA664D" w:rsidRDefault="00CA664D" w:rsidP="00011502">
      <w:pPr>
        <w:jc w:val="both"/>
        <w:rPr>
          <w:sz w:val="23"/>
          <w:szCs w:val="23"/>
        </w:rPr>
      </w:pPr>
    </w:p>
    <w:p w:rsidR="00CA664D" w:rsidRDefault="00CA664D" w:rsidP="00011502">
      <w:pPr>
        <w:jc w:val="both"/>
        <w:rPr>
          <w:sz w:val="23"/>
          <w:szCs w:val="23"/>
        </w:rPr>
      </w:pPr>
    </w:p>
    <w:p w:rsidR="00CA664D" w:rsidRDefault="00CA664D" w:rsidP="00011502">
      <w:pPr>
        <w:jc w:val="both"/>
        <w:rPr>
          <w:sz w:val="23"/>
          <w:szCs w:val="23"/>
        </w:rPr>
      </w:pPr>
    </w:p>
    <w:p w:rsidR="00CA664D" w:rsidRDefault="00CA664D" w:rsidP="00011502">
      <w:pPr>
        <w:jc w:val="both"/>
        <w:rPr>
          <w:sz w:val="23"/>
          <w:szCs w:val="23"/>
        </w:rPr>
      </w:pPr>
    </w:p>
    <w:p w:rsidR="00CA664D" w:rsidRDefault="00CA664D" w:rsidP="00011502">
      <w:pPr>
        <w:jc w:val="both"/>
        <w:rPr>
          <w:sz w:val="23"/>
          <w:szCs w:val="23"/>
        </w:rPr>
      </w:pPr>
    </w:p>
    <w:p w:rsidR="00D30304" w:rsidRDefault="00D30304" w:rsidP="00011502">
      <w:pPr>
        <w:jc w:val="both"/>
        <w:rPr>
          <w:sz w:val="23"/>
          <w:szCs w:val="23"/>
        </w:rPr>
      </w:pPr>
    </w:p>
    <w:p w:rsidR="00D30304" w:rsidRDefault="00D30304" w:rsidP="00011502">
      <w:pPr>
        <w:jc w:val="both"/>
        <w:rPr>
          <w:sz w:val="23"/>
          <w:szCs w:val="23"/>
        </w:rPr>
      </w:pPr>
    </w:p>
    <w:p w:rsidR="00011502" w:rsidRPr="00124AD6" w:rsidRDefault="00011502" w:rsidP="00011502">
      <w:pPr>
        <w:pStyle w:val="NormalWeb"/>
        <w:spacing w:before="0" w:beforeAutospacing="0" w:after="0" w:afterAutospacing="0"/>
        <w:jc w:val="center"/>
        <w:rPr>
          <w:rFonts w:eastAsia="+mn-ea"/>
          <w:b/>
          <w:bCs/>
          <w:color w:val="000000"/>
          <w:kern w:val="24"/>
        </w:rPr>
      </w:pPr>
      <w:r w:rsidRPr="00124AD6">
        <w:rPr>
          <w:rFonts w:eastAsia="+mn-ea"/>
          <w:b/>
          <w:bCs/>
          <w:color w:val="000000"/>
          <w:kern w:val="24"/>
        </w:rPr>
        <w:t>Gráfica 1</w:t>
      </w:r>
      <w:r w:rsidR="00D30304">
        <w:rPr>
          <w:rFonts w:eastAsia="+mn-ea"/>
          <w:b/>
          <w:bCs/>
          <w:color w:val="000000"/>
          <w:kern w:val="24"/>
        </w:rPr>
        <w:t>6</w:t>
      </w:r>
    </w:p>
    <w:p w:rsidR="00011502" w:rsidRPr="00124AD6" w:rsidRDefault="00011502" w:rsidP="00011502">
      <w:pPr>
        <w:pStyle w:val="NormalWeb"/>
        <w:spacing w:before="0" w:beforeAutospacing="0" w:after="0" w:afterAutospacing="0"/>
        <w:jc w:val="center"/>
      </w:pPr>
      <w:r w:rsidRPr="00124AD6">
        <w:rPr>
          <w:rFonts w:eastAsia="+mn-ea"/>
          <w:b/>
          <w:bCs/>
          <w:color w:val="000000"/>
          <w:kern w:val="24"/>
        </w:rPr>
        <w:t>Comportamiento del Gasto Público* 2008</w:t>
      </w:r>
      <w:r>
        <w:rPr>
          <w:rFonts w:eastAsia="+mn-ea"/>
          <w:b/>
          <w:bCs/>
          <w:color w:val="000000"/>
          <w:kern w:val="24"/>
        </w:rPr>
        <w:t xml:space="preserve"> </w:t>
      </w:r>
      <w:r w:rsidR="00D30304">
        <w:rPr>
          <w:rFonts w:eastAsia="+mn-ea"/>
          <w:b/>
          <w:bCs/>
          <w:color w:val="000000"/>
          <w:kern w:val="24"/>
        </w:rPr>
        <w:t>-</w:t>
      </w:r>
      <w:r>
        <w:rPr>
          <w:rFonts w:eastAsia="+mn-ea"/>
          <w:b/>
          <w:bCs/>
          <w:color w:val="000000"/>
          <w:kern w:val="24"/>
        </w:rPr>
        <w:t xml:space="preserve"> </w:t>
      </w:r>
      <w:r w:rsidRPr="00124AD6">
        <w:rPr>
          <w:rFonts w:eastAsia="+mn-ea"/>
          <w:b/>
          <w:bCs/>
          <w:color w:val="000000"/>
          <w:kern w:val="24"/>
        </w:rPr>
        <w:t>201</w:t>
      </w:r>
      <w:r>
        <w:rPr>
          <w:rFonts w:eastAsia="+mn-ea"/>
          <w:b/>
          <w:bCs/>
          <w:color w:val="000000"/>
          <w:kern w:val="24"/>
        </w:rPr>
        <w:t>9</w:t>
      </w:r>
      <w:r w:rsidR="00D30304">
        <w:rPr>
          <w:rFonts w:eastAsia="+mn-ea"/>
          <w:b/>
          <w:bCs/>
          <w:color w:val="000000"/>
          <w:kern w:val="24"/>
        </w:rPr>
        <w:t>**</w:t>
      </w:r>
    </w:p>
    <w:p w:rsidR="00011502" w:rsidRPr="00124AD6" w:rsidRDefault="00011502" w:rsidP="00011502">
      <w:pPr>
        <w:contextualSpacing/>
        <w:jc w:val="center"/>
        <w:rPr>
          <w:rFonts w:eastAsia="+mn-ea"/>
          <w:b/>
          <w:bCs/>
          <w:color w:val="000000"/>
          <w:kern w:val="24"/>
          <w:lang w:val="es-GT" w:eastAsia="es-GT"/>
        </w:rPr>
      </w:pPr>
      <w:r>
        <w:rPr>
          <w:rFonts w:eastAsia="+mn-ea"/>
          <w:b/>
          <w:bCs/>
          <w:color w:val="000000"/>
          <w:kern w:val="24"/>
          <w:lang w:val="es-GT" w:eastAsia="es-GT"/>
        </w:rPr>
        <w:t>(</w:t>
      </w:r>
      <w:r w:rsidR="00E82889">
        <w:rPr>
          <w:rFonts w:eastAsia="+mn-ea"/>
          <w:b/>
          <w:bCs/>
          <w:color w:val="000000"/>
          <w:kern w:val="24"/>
          <w:lang w:val="es-GT" w:eastAsia="es-GT"/>
        </w:rPr>
        <w:t xml:space="preserve">En </w:t>
      </w:r>
      <w:r>
        <w:rPr>
          <w:rFonts w:eastAsia="+mn-ea"/>
          <w:b/>
          <w:bCs/>
          <w:color w:val="000000"/>
          <w:kern w:val="24"/>
          <w:lang w:val="es-GT" w:eastAsia="es-GT"/>
        </w:rPr>
        <w:t>Porcentajes del PIB)</w:t>
      </w:r>
    </w:p>
    <w:p w:rsidR="00011502" w:rsidRDefault="00011502" w:rsidP="00D30304">
      <w:pPr>
        <w:jc w:val="center"/>
        <w:rPr>
          <w:sz w:val="23"/>
          <w:szCs w:val="23"/>
        </w:rPr>
      </w:pPr>
      <w:r>
        <w:rPr>
          <w:noProof/>
          <w:lang w:val="es-GT" w:eastAsia="es-GT"/>
        </w:rPr>
        <w:drawing>
          <wp:inline distT="0" distB="0" distL="0" distR="0" wp14:anchorId="322F25CD" wp14:editId="55CA0209">
            <wp:extent cx="5610759" cy="3877056"/>
            <wp:effectExtent l="0" t="0" r="0" b="0"/>
            <wp:docPr id="27" name="Gráfico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65502C" w:rsidRPr="0065502C" w:rsidRDefault="0065502C" w:rsidP="00011502">
      <w:pPr>
        <w:jc w:val="both"/>
        <w:rPr>
          <w:sz w:val="14"/>
        </w:rPr>
      </w:pPr>
      <w:r>
        <w:rPr>
          <w:sz w:val="18"/>
        </w:rPr>
        <w:t xml:space="preserve">                     </w:t>
      </w:r>
    </w:p>
    <w:p w:rsidR="00011502" w:rsidRDefault="0065502C" w:rsidP="00011502">
      <w:pPr>
        <w:jc w:val="both"/>
        <w:rPr>
          <w:sz w:val="18"/>
        </w:rPr>
      </w:pPr>
      <w:r>
        <w:rPr>
          <w:sz w:val="18"/>
        </w:rPr>
        <w:t xml:space="preserve">                       </w:t>
      </w:r>
      <w:r w:rsidR="00011502" w:rsidRPr="007774ED">
        <w:rPr>
          <w:sz w:val="18"/>
        </w:rPr>
        <w:t xml:space="preserve">* No incluye amortizaciones de </w:t>
      </w:r>
      <w:r w:rsidR="00011502">
        <w:rPr>
          <w:sz w:val="18"/>
        </w:rPr>
        <w:t>D</w:t>
      </w:r>
      <w:r w:rsidR="00011502" w:rsidRPr="007774ED">
        <w:rPr>
          <w:sz w:val="18"/>
        </w:rPr>
        <w:t xml:space="preserve">euda </w:t>
      </w:r>
      <w:r w:rsidR="00011502">
        <w:rPr>
          <w:sz w:val="18"/>
        </w:rPr>
        <w:t>P</w:t>
      </w:r>
      <w:r w:rsidR="00011502" w:rsidRPr="007774ED">
        <w:rPr>
          <w:sz w:val="18"/>
        </w:rPr>
        <w:t>ública</w:t>
      </w:r>
    </w:p>
    <w:p w:rsidR="00D30304" w:rsidRPr="000B60D0" w:rsidRDefault="0065502C" w:rsidP="00011502">
      <w:pPr>
        <w:jc w:val="both"/>
        <w:rPr>
          <w:sz w:val="23"/>
          <w:szCs w:val="23"/>
        </w:rPr>
      </w:pPr>
      <w:r>
        <w:rPr>
          <w:sz w:val="18"/>
        </w:rPr>
        <w:t xml:space="preserve">                     </w:t>
      </w:r>
      <w:r w:rsidR="00D30304">
        <w:rPr>
          <w:sz w:val="18"/>
        </w:rPr>
        <w:t>** Cifras preliminares</w:t>
      </w:r>
    </w:p>
    <w:p w:rsidR="00011502" w:rsidRPr="007774ED" w:rsidRDefault="00D30304" w:rsidP="00011502">
      <w:pPr>
        <w:ind w:left="142"/>
        <w:contextualSpacing/>
        <w:jc w:val="both"/>
        <w:rPr>
          <w:sz w:val="18"/>
        </w:rPr>
      </w:pPr>
      <w:r>
        <w:rPr>
          <w:sz w:val="18"/>
        </w:rPr>
        <w:t xml:space="preserve"> </w:t>
      </w:r>
      <w:r w:rsidR="0065502C">
        <w:rPr>
          <w:sz w:val="18"/>
        </w:rPr>
        <w:t xml:space="preserve">                     </w:t>
      </w:r>
      <w:r>
        <w:rPr>
          <w:sz w:val="18"/>
        </w:rPr>
        <w:t xml:space="preserve"> </w:t>
      </w:r>
      <w:r w:rsidR="00011502" w:rsidRPr="007774ED">
        <w:rPr>
          <w:sz w:val="18"/>
        </w:rPr>
        <w:t>Fuente: Ministerio de Finanzas Públicas</w:t>
      </w:r>
      <w:r w:rsidR="00011502">
        <w:rPr>
          <w:sz w:val="18"/>
        </w:rPr>
        <w:t>.</w:t>
      </w:r>
    </w:p>
    <w:p w:rsidR="00011502" w:rsidRPr="00124AD6" w:rsidRDefault="00011502" w:rsidP="00011502">
      <w:pPr>
        <w:jc w:val="both"/>
      </w:pPr>
    </w:p>
    <w:p w:rsidR="00011502" w:rsidRDefault="00011502" w:rsidP="00011502">
      <w:pPr>
        <w:pStyle w:val="NormalWeb"/>
        <w:spacing w:before="0" w:beforeAutospacing="0" w:after="0" w:afterAutospacing="0"/>
        <w:jc w:val="center"/>
        <w:rPr>
          <w:rFonts w:eastAsia="+mn-ea"/>
          <w:b/>
          <w:bCs/>
          <w:color w:val="000000"/>
          <w:kern w:val="24"/>
        </w:rPr>
      </w:pPr>
    </w:p>
    <w:p w:rsidR="00011502" w:rsidRDefault="00011502" w:rsidP="00011502">
      <w:pPr>
        <w:pStyle w:val="NormalWeb"/>
        <w:spacing w:before="0" w:beforeAutospacing="0" w:after="0" w:afterAutospacing="0"/>
        <w:jc w:val="center"/>
        <w:rPr>
          <w:rFonts w:eastAsia="+mn-ea"/>
          <w:b/>
          <w:bCs/>
          <w:color w:val="000000"/>
          <w:kern w:val="24"/>
        </w:rPr>
      </w:pPr>
    </w:p>
    <w:p w:rsidR="00011502" w:rsidRDefault="00011502" w:rsidP="00011502">
      <w:pPr>
        <w:pStyle w:val="NormalWeb"/>
        <w:spacing w:before="0" w:beforeAutospacing="0" w:after="0" w:afterAutospacing="0"/>
        <w:jc w:val="center"/>
        <w:rPr>
          <w:rFonts w:eastAsia="+mn-ea"/>
          <w:b/>
          <w:bCs/>
          <w:color w:val="000000"/>
          <w:kern w:val="24"/>
        </w:rPr>
      </w:pPr>
    </w:p>
    <w:p w:rsidR="00011502" w:rsidRDefault="00011502" w:rsidP="00011502">
      <w:pPr>
        <w:pStyle w:val="NormalWeb"/>
        <w:spacing w:before="0" w:beforeAutospacing="0" w:after="0" w:afterAutospacing="0"/>
        <w:jc w:val="center"/>
        <w:rPr>
          <w:rFonts w:eastAsia="+mn-ea"/>
          <w:b/>
          <w:bCs/>
          <w:color w:val="000000"/>
          <w:kern w:val="24"/>
        </w:rPr>
      </w:pPr>
    </w:p>
    <w:p w:rsidR="00011502" w:rsidRDefault="00011502" w:rsidP="00011502">
      <w:pPr>
        <w:pStyle w:val="NormalWeb"/>
        <w:spacing w:before="0" w:beforeAutospacing="0" w:after="0" w:afterAutospacing="0"/>
        <w:jc w:val="center"/>
        <w:rPr>
          <w:rFonts w:eastAsia="+mn-ea"/>
          <w:b/>
          <w:bCs/>
          <w:color w:val="000000"/>
          <w:kern w:val="24"/>
        </w:rPr>
      </w:pPr>
    </w:p>
    <w:p w:rsidR="00011502" w:rsidRDefault="00011502" w:rsidP="00011502">
      <w:pPr>
        <w:pStyle w:val="NormalWeb"/>
        <w:spacing w:before="0" w:beforeAutospacing="0" w:after="0" w:afterAutospacing="0"/>
        <w:jc w:val="center"/>
        <w:rPr>
          <w:rFonts w:eastAsia="+mn-ea"/>
          <w:b/>
          <w:bCs/>
          <w:color w:val="000000"/>
          <w:kern w:val="24"/>
        </w:rPr>
      </w:pPr>
    </w:p>
    <w:p w:rsidR="00011502" w:rsidRDefault="00011502" w:rsidP="00011502">
      <w:pPr>
        <w:pStyle w:val="NormalWeb"/>
        <w:spacing w:before="0" w:beforeAutospacing="0" w:after="0" w:afterAutospacing="0"/>
        <w:jc w:val="center"/>
        <w:rPr>
          <w:rFonts w:eastAsia="+mn-ea"/>
          <w:b/>
          <w:bCs/>
          <w:color w:val="000000"/>
          <w:kern w:val="24"/>
        </w:rPr>
      </w:pPr>
    </w:p>
    <w:p w:rsidR="00D30304" w:rsidRDefault="00D30304" w:rsidP="00011502">
      <w:pPr>
        <w:pStyle w:val="NormalWeb"/>
        <w:spacing w:before="0" w:beforeAutospacing="0" w:after="0" w:afterAutospacing="0"/>
        <w:jc w:val="center"/>
        <w:rPr>
          <w:rFonts w:eastAsia="+mn-ea"/>
          <w:b/>
          <w:bCs/>
          <w:color w:val="000000"/>
          <w:kern w:val="24"/>
        </w:rPr>
      </w:pPr>
    </w:p>
    <w:p w:rsidR="00D30304" w:rsidRDefault="00D30304" w:rsidP="00011502">
      <w:pPr>
        <w:pStyle w:val="NormalWeb"/>
        <w:spacing w:before="0" w:beforeAutospacing="0" w:after="0" w:afterAutospacing="0"/>
        <w:jc w:val="center"/>
        <w:rPr>
          <w:rFonts w:eastAsia="+mn-ea"/>
          <w:b/>
          <w:bCs/>
          <w:color w:val="000000"/>
          <w:kern w:val="24"/>
        </w:rPr>
      </w:pPr>
    </w:p>
    <w:p w:rsidR="00D30304" w:rsidRDefault="00D30304" w:rsidP="00011502">
      <w:pPr>
        <w:pStyle w:val="NormalWeb"/>
        <w:spacing w:before="0" w:beforeAutospacing="0" w:after="0" w:afterAutospacing="0"/>
        <w:jc w:val="center"/>
        <w:rPr>
          <w:rFonts w:eastAsia="+mn-ea"/>
          <w:b/>
          <w:bCs/>
          <w:color w:val="000000"/>
          <w:kern w:val="24"/>
        </w:rPr>
      </w:pPr>
    </w:p>
    <w:p w:rsidR="00D30304" w:rsidRDefault="00D30304" w:rsidP="00011502">
      <w:pPr>
        <w:pStyle w:val="NormalWeb"/>
        <w:spacing w:before="0" w:beforeAutospacing="0" w:after="0" w:afterAutospacing="0"/>
        <w:jc w:val="center"/>
        <w:rPr>
          <w:rFonts w:eastAsia="+mn-ea"/>
          <w:b/>
          <w:bCs/>
          <w:color w:val="000000"/>
          <w:kern w:val="24"/>
        </w:rPr>
      </w:pPr>
    </w:p>
    <w:p w:rsidR="00D30304" w:rsidRDefault="00D30304" w:rsidP="00011502">
      <w:pPr>
        <w:pStyle w:val="NormalWeb"/>
        <w:spacing w:before="0" w:beforeAutospacing="0" w:after="0" w:afterAutospacing="0"/>
        <w:jc w:val="center"/>
        <w:rPr>
          <w:rFonts w:eastAsia="+mn-ea"/>
          <w:b/>
          <w:bCs/>
          <w:color w:val="000000"/>
          <w:kern w:val="24"/>
        </w:rPr>
      </w:pPr>
    </w:p>
    <w:p w:rsidR="00D30304" w:rsidRDefault="00D30304" w:rsidP="00011502">
      <w:pPr>
        <w:pStyle w:val="NormalWeb"/>
        <w:spacing w:before="0" w:beforeAutospacing="0" w:after="0" w:afterAutospacing="0"/>
        <w:jc w:val="center"/>
        <w:rPr>
          <w:rFonts w:eastAsia="+mn-ea"/>
          <w:b/>
          <w:bCs/>
          <w:color w:val="000000"/>
          <w:kern w:val="24"/>
        </w:rPr>
      </w:pPr>
    </w:p>
    <w:p w:rsidR="00011502" w:rsidRDefault="00011502" w:rsidP="00011502">
      <w:pPr>
        <w:pStyle w:val="NormalWeb"/>
        <w:spacing w:before="0" w:beforeAutospacing="0" w:after="0" w:afterAutospacing="0"/>
        <w:jc w:val="center"/>
        <w:rPr>
          <w:rFonts w:eastAsia="+mn-ea"/>
          <w:b/>
          <w:bCs/>
          <w:color w:val="000000"/>
          <w:kern w:val="24"/>
        </w:rPr>
      </w:pPr>
    </w:p>
    <w:p w:rsidR="00011502" w:rsidRDefault="00011502" w:rsidP="00011502">
      <w:pPr>
        <w:pStyle w:val="NormalWeb"/>
        <w:spacing w:before="0" w:beforeAutospacing="0" w:after="0" w:afterAutospacing="0"/>
        <w:jc w:val="center"/>
        <w:rPr>
          <w:rFonts w:eastAsia="+mn-ea"/>
          <w:b/>
          <w:bCs/>
          <w:color w:val="000000"/>
          <w:kern w:val="24"/>
        </w:rPr>
      </w:pPr>
    </w:p>
    <w:p w:rsidR="00011502" w:rsidRPr="00124AD6" w:rsidRDefault="00011502" w:rsidP="00011502">
      <w:pPr>
        <w:pStyle w:val="NormalWeb"/>
        <w:spacing w:before="0" w:beforeAutospacing="0" w:after="0" w:afterAutospacing="0"/>
        <w:jc w:val="center"/>
        <w:rPr>
          <w:rFonts w:eastAsia="+mn-ea"/>
          <w:b/>
          <w:bCs/>
          <w:color w:val="000000"/>
          <w:kern w:val="24"/>
        </w:rPr>
      </w:pPr>
      <w:r w:rsidRPr="00124AD6">
        <w:rPr>
          <w:rFonts w:eastAsia="+mn-ea"/>
          <w:b/>
          <w:bCs/>
          <w:color w:val="000000"/>
          <w:kern w:val="24"/>
        </w:rPr>
        <w:t>Gráfica 1</w:t>
      </w:r>
      <w:r w:rsidR="00D30304">
        <w:rPr>
          <w:rFonts w:eastAsia="+mn-ea"/>
          <w:b/>
          <w:bCs/>
          <w:color w:val="000000"/>
          <w:kern w:val="24"/>
        </w:rPr>
        <w:t>7</w:t>
      </w:r>
      <w:r w:rsidRPr="00124AD6">
        <w:rPr>
          <w:rFonts w:eastAsia="+mn-ea"/>
          <w:b/>
          <w:bCs/>
          <w:color w:val="000000"/>
          <w:kern w:val="24"/>
        </w:rPr>
        <w:t xml:space="preserve"> </w:t>
      </w:r>
    </w:p>
    <w:p w:rsidR="00011502" w:rsidRDefault="00011502" w:rsidP="00011502">
      <w:pPr>
        <w:pStyle w:val="NormalWeb"/>
        <w:spacing w:before="0" w:beforeAutospacing="0" w:after="0" w:afterAutospacing="0"/>
        <w:jc w:val="center"/>
        <w:rPr>
          <w:rFonts w:eastAsia="+mn-ea"/>
          <w:b/>
          <w:bCs/>
          <w:color w:val="000000"/>
          <w:kern w:val="24"/>
        </w:rPr>
      </w:pPr>
      <w:r w:rsidRPr="00124AD6">
        <w:rPr>
          <w:rFonts w:eastAsia="+mn-ea"/>
          <w:b/>
          <w:bCs/>
          <w:color w:val="000000"/>
          <w:kern w:val="24"/>
        </w:rPr>
        <w:t xml:space="preserve">Ejecución </w:t>
      </w:r>
      <w:r>
        <w:rPr>
          <w:rFonts w:eastAsia="+mn-ea"/>
          <w:b/>
          <w:bCs/>
          <w:color w:val="000000"/>
          <w:kern w:val="24"/>
        </w:rPr>
        <w:t xml:space="preserve">Presupuestaria </w:t>
      </w:r>
      <w:r w:rsidRPr="00124AD6">
        <w:rPr>
          <w:rFonts w:eastAsia="+mn-ea"/>
          <w:b/>
          <w:bCs/>
          <w:color w:val="000000"/>
          <w:kern w:val="24"/>
        </w:rPr>
        <w:t>del Gasto Público 2008</w:t>
      </w:r>
      <w:r>
        <w:rPr>
          <w:rFonts w:eastAsia="+mn-ea"/>
          <w:b/>
          <w:bCs/>
          <w:color w:val="000000"/>
          <w:kern w:val="24"/>
        </w:rPr>
        <w:t xml:space="preserve"> </w:t>
      </w:r>
      <w:r w:rsidR="00D30304">
        <w:rPr>
          <w:rFonts w:eastAsia="+mn-ea"/>
          <w:b/>
          <w:bCs/>
          <w:color w:val="000000"/>
          <w:kern w:val="24"/>
        </w:rPr>
        <w:t>-</w:t>
      </w:r>
      <w:r>
        <w:rPr>
          <w:rFonts w:eastAsia="+mn-ea"/>
          <w:b/>
          <w:bCs/>
          <w:color w:val="000000"/>
          <w:kern w:val="24"/>
        </w:rPr>
        <w:t xml:space="preserve"> </w:t>
      </w:r>
      <w:r w:rsidRPr="00124AD6">
        <w:rPr>
          <w:rFonts w:eastAsia="+mn-ea"/>
          <w:b/>
          <w:bCs/>
          <w:color w:val="000000"/>
          <w:kern w:val="24"/>
        </w:rPr>
        <w:t>201</w:t>
      </w:r>
      <w:r w:rsidR="00D30304">
        <w:rPr>
          <w:rFonts w:eastAsia="+mn-ea"/>
          <w:b/>
          <w:bCs/>
          <w:color w:val="000000"/>
          <w:kern w:val="24"/>
        </w:rPr>
        <w:t>9</w:t>
      </w:r>
      <w:r>
        <w:rPr>
          <w:rFonts w:eastAsia="+mn-ea"/>
          <w:b/>
          <w:bCs/>
          <w:color w:val="000000"/>
          <w:kern w:val="24"/>
        </w:rPr>
        <w:t>*</w:t>
      </w:r>
    </w:p>
    <w:p w:rsidR="00011502" w:rsidRDefault="00011502" w:rsidP="00011502">
      <w:pPr>
        <w:pStyle w:val="NormalWeb"/>
        <w:spacing w:before="0" w:beforeAutospacing="0" w:after="0" w:afterAutospacing="0"/>
        <w:jc w:val="center"/>
        <w:rPr>
          <w:rFonts w:eastAsia="+mn-ea"/>
          <w:b/>
          <w:bCs/>
          <w:color w:val="000000"/>
          <w:kern w:val="24"/>
        </w:rPr>
      </w:pPr>
      <w:r>
        <w:rPr>
          <w:rFonts w:eastAsia="+mn-ea"/>
          <w:b/>
          <w:bCs/>
          <w:color w:val="000000"/>
          <w:kern w:val="24"/>
        </w:rPr>
        <w:t>(Cifras en Porcentajes)</w:t>
      </w:r>
    </w:p>
    <w:p w:rsidR="00011502" w:rsidRPr="00124AD6" w:rsidRDefault="00011502" w:rsidP="00D30304">
      <w:pPr>
        <w:ind w:left="426"/>
        <w:jc w:val="center"/>
      </w:pPr>
      <w:r>
        <w:rPr>
          <w:noProof/>
          <w:lang w:val="es-GT" w:eastAsia="es-GT"/>
        </w:rPr>
        <w:drawing>
          <wp:inline distT="0" distB="0" distL="0" distR="0" wp14:anchorId="41BD07EF" wp14:editId="0BE62E8C">
            <wp:extent cx="5610758" cy="3760013"/>
            <wp:effectExtent l="0" t="0" r="0" b="0"/>
            <wp:docPr id="28" name="Gráfico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1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011502" w:rsidRPr="00A22A6F" w:rsidRDefault="0065502C" w:rsidP="00011502">
      <w:pPr>
        <w:pStyle w:val="Prrafodelista"/>
        <w:ind w:left="502"/>
        <w:contextualSpacing/>
        <w:jc w:val="both"/>
        <w:rPr>
          <w:sz w:val="18"/>
        </w:rPr>
      </w:pPr>
      <w:r>
        <w:rPr>
          <w:sz w:val="18"/>
        </w:rPr>
        <w:t xml:space="preserve">                </w:t>
      </w:r>
      <w:r w:rsidR="00011502">
        <w:rPr>
          <w:sz w:val="18"/>
        </w:rPr>
        <w:t xml:space="preserve">* Cifras preliminares, incluyendo las amortizaciones de </w:t>
      </w:r>
      <w:r w:rsidR="00D30304">
        <w:rPr>
          <w:sz w:val="18"/>
        </w:rPr>
        <w:t>Deuda Pública</w:t>
      </w:r>
    </w:p>
    <w:p w:rsidR="00011502" w:rsidRPr="007774ED" w:rsidRDefault="00011502" w:rsidP="00011502">
      <w:pPr>
        <w:ind w:left="142"/>
        <w:contextualSpacing/>
        <w:jc w:val="both"/>
        <w:rPr>
          <w:sz w:val="18"/>
        </w:rPr>
      </w:pPr>
      <w:r>
        <w:rPr>
          <w:sz w:val="18"/>
        </w:rPr>
        <w:t xml:space="preserve">      </w:t>
      </w:r>
      <w:r w:rsidR="0065502C">
        <w:rPr>
          <w:sz w:val="18"/>
        </w:rPr>
        <w:t xml:space="preserve">                </w:t>
      </w:r>
      <w:r>
        <w:rPr>
          <w:sz w:val="18"/>
        </w:rPr>
        <w:t xml:space="preserve">     </w:t>
      </w:r>
      <w:r w:rsidRPr="007774ED">
        <w:rPr>
          <w:sz w:val="18"/>
        </w:rPr>
        <w:t>Fuente: Ministerio de Finanzas Públicas</w:t>
      </w:r>
      <w:r>
        <w:rPr>
          <w:sz w:val="18"/>
        </w:rPr>
        <w:t>.</w:t>
      </w:r>
    </w:p>
    <w:p w:rsidR="00011502" w:rsidRPr="00124AD6" w:rsidRDefault="00011502" w:rsidP="00011502">
      <w:pPr>
        <w:jc w:val="both"/>
      </w:pPr>
    </w:p>
    <w:p w:rsidR="00011502" w:rsidRPr="00124AD6" w:rsidRDefault="00011502" w:rsidP="00011502">
      <w:pPr>
        <w:jc w:val="both"/>
      </w:pPr>
      <w:r>
        <w:t>La ejecución presupuestaria total del gasto incluyendo las amortizaciones fue de 96.0% en 2018, en tanto que la del 2019 fue de 93.8%.</w:t>
      </w:r>
      <w:r w:rsidR="00C6181C">
        <w:t xml:space="preserve"> </w:t>
      </w:r>
      <w:r>
        <w:t>En lo referente al promedio durante el período de 2008 a 2019, éste quedó en 93.0%, quedando los dos últimos años por arriba de este promedio. Vale indicar que el presupuesto aprobado de 2019 aumentó respecto al presupuesto de 2017, en virtud que el de 2018 no fue aprobado, Q</w:t>
      </w:r>
      <w:r w:rsidR="00C6181C">
        <w:t>.</w:t>
      </w:r>
      <w:r>
        <w:t xml:space="preserve">10,725.6 millones y la ejecución respecto </w:t>
      </w:r>
      <w:r w:rsidR="00C6181C">
        <w:t>de</w:t>
      </w:r>
      <w:r>
        <w:t xml:space="preserve"> 2018 aumentó en Q</w:t>
      </w:r>
      <w:r w:rsidR="00C6181C">
        <w:t>.</w:t>
      </w:r>
      <w:r>
        <w:t>7,562.2 millones al ubicarse en Q</w:t>
      </w:r>
      <w:r w:rsidR="00C6181C">
        <w:t>.</w:t>
      </w:r>
      <w:r>
        <w:t>82,839.2 millones, equivalentes a</w:t>
      </w:r>
      <w:r w:rsidR="00C6181C">
        <w:t>l</w:t>
      </w:r>
      <w:r>
        <w:t xml:space="preserve"> 10.0%</w:t>
      </w:r>
      <w:r w:rsidRPr="00124AD6">
        <w:t>.</w:t>
      </w:r>
    </w:p>
    <w:p w:rsidR="00011502" w:rsidRPr="00BB6F45" w:rsidRDefault="00011502" w:rsidP="00011502">
      <w:pPr>
        <w:jc w:val="both"/>
        <w:rPr>
          <w:bCs/>
        </w:rPr>
      </w:pPr>
    </w:p>
    <w:p w:rsidR="00011502" w:rsidRDefault="006B509B" w:rsidP="00011502">
      <w:pPr>
        <w:pStyle w:val="Ttulo3"/>
        <w:numPr>
          <w:ilvl w:val="0"/>
          <w:numId w:val="2"/>
        </w:numPr>
        <w:spacing w:line="276" w:lineRule="auto"/>
        <w:ind w:left="426"/>
        <w:jc w:val="both"/>
        <w:rPr>
          <w:rFonts w:ascii="Times New Roman" w:hAnsi="Times New Roman"/>
          <w:color w:val="000000" w:themeColor="text1"/>
        </w:rPr>
      </w:pPr>
      <w:bookmarkStart w:id="15" w:name="_Toc32829792"/>
      <w:r>
        <w:rPr>
          <w:rFonts w:ascii="Times New Roman" w:hAnsi="Times New Roman"/>
          <w:color w:val="000000" w:themeColor="text1"/>
        </w:rPr>
        <w:t>Gasto Social y Acuerdos de Paz</w:t>
      </w:r>
      <w:bookmarkEnd w:id="15"/>
    </w:p>
    <w:p w:rsidR="00011502" w:rsidRDefault="00011502" w:rsidP="00011502">
      <w:pPr>
        <w:rPr>
          <w:lang w:val="es-GT"/>
        </w:rPr>
      </w:pPr>
    </w:p>
    <w:p w:rsidR="005C1637" w:rsidRPr="00124AD6" w:rsidRDefault="005C1637" w:rsidP="005C1637">
      <w:pPr>
        <w:jc w:val="both"/>
      </w:pPr>
      <w:r w:rsidRPr="00124AD6">
        <w:t>Dentro de la priorización del gasto público es importante señalar que el gasto orientado a los sectores sociales</w:t>
      </w:r>
      <w:r>
        <w:t>,</w:t>
      </w:r>
      <w:r w:rsidRPr="00124AD6">
        <w:t xml:space="preserve"> </w:t>
      </w:r>
      <w:r>
        <w:t>establecidos en</w:t>
      </w:r>
      <w:r w:rsidRPr="00124AD6">
        <w:t xml:space="preserve"> los Acuerdos de Paz</w:t>
      </w:r>
      <w:r>
        <w:t>, tales</w:t>
      </w:r>
      <w:r w:rsidRPr="00124AD6">
        <w:t xml:space="preserve"> como salud, educación, seguridad ciudadana y los aportes al Ministerio Público y el Organismo Judicial</w:t>
      </w:r>
      <w:r>
        <w:t>, incluyendo a la Corte de Constitucionalidad</w:t>
      </w:r>
      <w:r w:rsidRPr="00124AD6">
        <w:t xml:space="preserve">, mostraron </w:t>
      </w:r>
      <w:r>
        <w:t>un comportamiento dinámico, así:</w:t>
      </w:r>
    </w:p>
    <w:p w:rsidR="005C1637" w:rsidRPr="00124AD6" w:rsidRDefault="005C1637" w:rsidP="005C1637">
      <w:pPr>
        <w:jc w:val="both"/>
        <w:rPr>
          <w:lang w:val="es-GT"/>
        </w:rPr>
      </w:pPr>
    </w:p>
    <w:p w:rsidR="005C1637" w:rsidRDefault="005C1637" w:rsidP="005C1637">
      <w:pPr>
        <w:rPr>
          <w:lang w:val="es-GT"/>
        </w:rPr>
      </w:pPr>
      <w:r>
        <w:t xml:space="preserve">Para el ejercicio fiscal 2019, el monto aprobado para los compromisos de los Acuerdos de Paz fue de Q44,785.1 millones, de los cuales se ejecutaron Q44,767.3 millones, equivalentes al </w:t>
      </w:r>
      <w:r>
        <w:lastRenderedPageBreak/>
        <w:t>100.0%.  Los sectores del gasto social se ejecutaron como se muestra a continuación: el sector Salud y Asistencia Social ejecutó el 99.0% de su presupuesto aprobado; el sector Educación, Ciencia y Cultura ejecutó el 102.0% y el sector Vivienda ejecutó 56.1%.  En lo relativo al sector justicia, el comportamiento fue así: el sector de Seguridad Interna ejecutó el 99.0% y el Organismo Judicial y Corte de Constitucionalidad y Ministerio Público ejecutaron el 100.0%</w:t>
      </w:r>
    </w:p>
    <w:p w:rsidR="00011502" w:rsidRDefault="00011502" w:rsidP="00011502">
      <w:pPr>
        <w:jc w:val="center"/>
        <w:rPr>
          <w:b/>
        </w:rPr>
      </w:pPr>
    </w:p>
    <w:p w:rsidR="00011502" w:rsidRPr="00124AD6" w:rsidRDefault="00011502" w:rsidP="00011502">
      <w:pPr>
        <w:jc w:val="center"/>
        <w:rPr>
          <w:b/>
        </w:rPr>
      </w:pPr>
      <w:r w:rsidRPr="00124AD6">
        <w:rPr>
          <w:b/>
        </w:rPr>
        <w:t xml:space="preserve">Cuadro </w:t>
      </w:r>
      <w:r>
        <w:rPr>
          <w:b/>
        </w:rPr>
        <w:t>5</w:t>
      </w:r>
    </w:p>
    <w:p w:rsidR="00011502" w:rsidRPr="00124AD6" w:rsidRDefault="00011502" w:rsidP="00011502">
      <w:pPr>
        <w:jc w:val="center"/>
        <w:rPr>
          <w:b/>
        </w:rPr>
      </w:pPr>
      <w:r w:rsidRPr="00124AD6">
        <w:rPr>
          <w:b/>
        </w:rPr>
        <w:t>Ejecución del Gasto Social</w:t>
      </w:r>
    </w:p>
    <w:p w:rsidR="00011502" w:rsidRPr="00124AD6" w:rsidRDefault="00011502" w:rsidP="00011502">
      <w:pPr>
        <w:jc w:val="center"/>
        <w:rPr>
          <w:b/>
        </w:rPr>
      </w:pPr>
      <w:r w:rsidRPr="00124AD6">
        <w:rPr>
          <w:b/>
        </w:rPr>
        <w:t>Al 31 de diciembre 201</w:t>
      </w:r>
      <w:r w:rsidR="00365791">
        <w:rPr>
          <w:b/>
        </w:rPr>
        <w:t>9</w:t>
      </w:r>
      <w:r>
        <w:rPr>
          <w:b/>
        </w:rPr>
        <w:t>*</w:t>
      </w:r>
    </w:p>
    <w:p w:rsidR="00011502" w:rsidRDefault="00011502" w:rsidP="00011502">
      <w:pPr>
        <w:jc w:val="center"/>
        <w:rPr>
          <w:b/>
        </w:rPr>
      </w:pPr>
      <w:r>
        <w:rPr>
          <w:b/>
        </w:rPr>
        <w:t>(</w:t>
      </w:r>
      <w:r w:rsidRPr="00124AD6">
        <w:rPr>
          <w:b/>
        </w:rPr>
        <w:t>Mill</w:t>
      </w:r>
      <w:r>
        <w:rPr>
          <w:b/>
        </w:rPr>
        <w:t>ones de Quetzales y Porcentajes)</w:t>
      </w:r>
    </w:p>
    <w:tbl>
      <w:tblPr>
        <w:tblW w:w="9341" w:type="dxa"/>
        <w:tblInd w:w="85" w:type="dxa"/>
        <w:tblLayout w:type="fixed"/>
        <w:tblCellMar>
          <w:left w:w="70" w:type="dxa"/>
          <w:right w:w="70" w:type="dxa"/>
        </w:tblCellMar>
        <w:tblLook w:val="04A0" w:firstRow="1" w:lastRow="0" w:firstColumn="1" w:lastColumn="0" w:noHBand="0" w:noVBand="1"/>
      </w:tblPr>
      <w:tblGrid>
        <w:gridCol w:w="3104"/>
        <w:gridCol w:w="1559"/>
        <w:gridCol w:w="1559"/>
        <w:gridCol w:w="1418"/>
        <w:gridCol w:w="1701"/>
      </w:tblGrid>
      <w:tr w:rsidR="00582B6B" w:rsidRPr="00582B6B" w:rsidTr="00582B6B">
        <w:trPr>
          <w:trHeight w:val="480"/>
        </w:trPr>
        <w:tc>
          <w:tcPr>
            <w:tcW w:w="3104" w:type="dxa"/>
            <w:vMerge w:val="restart"/>
            <w:tcBorders>
              <w:top w:val="single" w:sz="12" w:space="0" w:color="auto"/>
              <w:left w:val="single" w:sz="12" w:space="0" w:color="auto"/>
              <w:bottom w:val="single" w:sz="8" w:space="0" w:color="000000"/>
              <w:right w:val="nil"/>
            </w:tcBorders>
            <w:shd w:val="clear" w:color="000000" w:fill="8DB4E2"/>
            <w:vAlign w:val="center"/>
            <w:hideMark/>
          </w:tcPr>
          <w:p w:rsidR="00582B6B" w:rsidRPr="00582B6B" w:rsidRDefault="00582B6B" w:rsidP="00582B6B">
            <w:pPr>
              <w:jc w:val="center"/>
              <w:rPr>
                <w:b/>
                <w:bCs/>
                <w:sz w:val="28"/>
                <w:szCs w:val="28"/>
                <w:lang w:val="es-GT" w:eastAsia="es-GT"/>
              </w:rPr>
            </w:pPr>
            <w:r w:rsidRPr="00582B6B">
              <w:rPr>
                <w:b/>
                <w:bCs/>
                <w:sz w:val="28"/>
                <w:szCs w:val="28"/>
                <w:lang w:val="es-GT" w:eastAsia="es-GT"/>
              </w:rPr>
              <w:t>Sector</w:t>
            </w:r>
          </w:p>
        </w:tc>
        <w:tc>
          <w:tcPr>
            <w:tcW w:w="3118" w:type="dxa"/>
            <w:gridSpan w:val="2"/>
            <w:tcBorders>
              <w:top w:val="single" w:sz="12" w:space="0" w:color="auto"/>
              <w:left w:val="single" w:sz="8" w:space="0" w:color="auto"/>
              <w:bottom w:val="single" w:sz="4" w:space="0" w:color="auto"/>
              <w:right w:val="single" w:sz="4" w:space="0" w:color="000000"/>
            </w:tcBorders>
            <w:shd w:val="clear" w:color="000000" w:fill="8DB4E2"/>
            <w:noWrap/>
            <w:vAlign w:val="center"/>
            <w:hideMark/>
          </w:tcPr>
          <w:p w:rsidR="00582B6B" w:rsidRPr="00582B6B" w:rsidRDefault="00582B6B" w:rsidP="00582B6B">
            <w:pPr>
              <w:jc w:val="center"/>
              <w:rPr>
                <w:b/>
                <w:bCs/>
                <w:sz w:val="28"/>
                <w:szCs w:val="28"/>
                <w:lang w:val="es-GT" w:eastAsia="es-GT"/>
              </w:rPr>
            </w:pPr>
            <w:r w:rsidRPr="00582B6B">
              <w:rPr>
                <w:b/>
                <w:bCs/>
                <w:sz w:val="28"/>
                <w:szCs w:val="28"/>
                <w:lang w:val="es-GT" w:eastAsia="es-GT"/>
              </w:rPr>
              <w:t>Presupuesto</w:t>
            </w:r>
          </w:p>
        </w:tc>
        <w:tc>
          <w:tcPr>
            <w:tcW w:w="1418" w:type="dxa"/>
            <w:vMerge w:val="restart"/>
            <w:tcBorders>
              <w:top w:val="single" w:sz="12" w:space="0" w:color="auto"/>
              <w:left w:val="single" w:sz="4" w:space="0" w:color="auto"/>
              <w:bottom w:val="single" w:sz="8" w:space="0" w:color="000000"/>
              <w:right w:val="nil"/>
            </w:tcBorders>
            <w:shd w:val="clear" w:color="000000" w:fill="8DB4E2"/>
            <w:vAlign w:val="center"/>
            <w:hideMark/>
          </w:tcPr>
          <w:p w:rsidR="00582B6B" w:rsidRPr="00582B6B" w:rsidRDefault="00582B6B" w:rsidP="00582B6B">
            <w:pPr>
              <w:jc w:val="center"/>
              <w:rPr>
                <w:b/>
                <w:bCs/>
                <w:sz w:val="28"/>
                <w:szCs w:val="28"/>
                <w:lang w:val="es-GT" w:eastAsia="es-GT"/>
              </w:rPr>
            </w:pPr>
            <w:r w:rsidRPr="00582B6B">
              <w:rPr>
                <w:b/>
                <w:bCs/>
                <w:sz w:val="28"/>
                <w:szCs w:val="28"/>
                <w:lang w:val="es-GT" w:eastAsia="es-GT"/>
              </w:rPr>
              <w:t>Variación</w:t>
            </w:r>
          </w:p>
        </w:tc>
        <w:tc>
          <w:tcPr>
            <w:tcW w:w="1701" w:type="dxa"/>
            <w:vMerge w:val="restart"/>
            <w:tcBorders>
              <w:top w:val="single" w:sz="12" w:space="0" w:color="auto"/>
              <w:left w:val="single" w:sz="4" w:space="0" w:color="auto"/>
              <w:bottom w:val="single" w:sz="8" w:space="0" w:color="000000"/>
              <w:right w:val="single" w:sz="12" w:space="0" w:color="auto"/>
            </w:tcBorders>
            <w:shd w:val="clear" w:color="000000" w:fill="8DB4E2"/>
            <w:vAlign w:val="center"/>
            <w:hideMark/>
          </w:tcPr>
          <w:p w:rsidR="00582B6B" w:rsidRPr="00582B6B" w:rsidRDefault="00582B6B" w:rsidP="00582B6B">
            <w:pPr>
              <w:jc w:val="center"/>
              <w:rPr>
                <w:b/>
                <w:bCs/>
                <w:sz w:val="28"/>
                <w:szCs w:val="28"/>
                <w:lang w:val="es-GT" w:eastAsia="es-GT"/>
              </w:rPr>
            </w:pPr>
            <w:r w:rsidRPr="00582B6B">
              <w:rPr>
                <w:b/>
                <w:bCs/>
                <w:sz w:val="28"/>
                <w:szCs w:val="28"/>
                <w:lang w:val="es-GT" w:eastAsia="es-GT"/>
              </w:rPr>
              <w:t>Porcentaje de Ejecución</w:t>
            </w:r>
          </w:p>
        </w:tc>
      </w:tr>
      <w:tr w:rsidR="00582B6B" w:rsidRPr="00582B6B" w:rsidTr="00582B6B">
        <w:trPr>
          <w:trHeight w:val="705"/>
        </w:trPr>
        <w:tc>
          <w:tcPr>
            <w:tcW w:w="3104" w:type="dxa"/>
            <w:vMerge/>
            <w:tcBorders>
              <w:top w:val="single" w:sz="12" w:space="0" w:color="auto"/>
              <w:left w:val="single" w:sz="12" w:space="0" w:color="auto"/>
              <w:bottom w:val="single" w:sz="8" w:space="0" w:color="000000"/>
              <w:right w:val="nil"/>
            </w:tcBorders>
            <w:vAlign w:val="center"/>
            <w:hideMark/>
          </w:tcPr>
          <w:p w:rsidR="00582B6B" w:rsidRPr="00582B6B" w:rsidRDefault="00582B6B" w:rsidP="00582B6B">
            <w:pPr>
              <w:rPr>
                <w:b/>
                <w:bCs/>
                <w:sz w:val="28"/>
                <w:szCs w:val="28"/>
                <w:lang w:val="es-GT" w:eastAsia="es-GT"/>
              </w:rPr>
            </w:pPr>
          </w:p>
        </w:tc>
        <w:tc>
          <w:tcPr>
            <w:tcW w:w="1559" w:type="dxa"/>
            <w:tcBorders>
              <w:top w:val="nil"/>
              <w:left w:val="single" w:sz="8" w:space="0" w:color="auto"/>
              <w:bottom w:val="single" w:sz="8" w:space="0" w:color="auto"/>
              <w:right w:val="single" w:sz="4" w:space="0" w:color="auto"/>
            </w:tcBorders>
            <w:shd w:val="clear" w:color="000000" w:fill="8DB4E2"/>
            <w:noWrap/>
            <w:vAlign w:val="center"/>
            <w:hideMark/>
          </w:tcPr>
          <w:p w:rsidR="00582B6B" w:rsidRPr="00582B6B" w:rsidRDefault="00582B6B" w:rsidP="00582B6B">
            <w:pPr>
              <w:jc w:val="center"/>
              <w:rPr>
                <w:b/>
                <w:bCs/>
                <w:sz w:val="28"/>
                <w:szCs w:val="28"/>
                <w:lang w:val="es-GT" w:eastAsia="es-GT"/>
              </w:rPr>
            </w:pPr>
            <w:r w:rsidRPr="00582B6B">
              <w:rPr>
                <w:b/>
                <w:bCs/>
                <w:sz w:val="28"/>
                <w:szCs w:val="28"/>
                <w:lang w:val="es-GT" w:eastAsia="es-GT"/>
              </w:rPr>
              <w:t>Aprobado</w:t>
            </w:r>
          </w:p>
        </w:tc>
        <w:tc>
          <w:tcPr>
            <w:tcW w:w="1559" w:type="dxa"/>
            <w:tcBorders>
              <w:top w:val="nil"/>
              <w:left w:val="nil"/>
              <w:bottom w:val="single" w:sz="8" w:space="0" w:color="auto"/>
              <w:right w:val="single" w:sz="4" w:space="0" w:color="auto"/>
            </w:tcBorders>
            <w:shd w:val="clear" w:color="000000" w:fill="8DB4E2"/>
            <w:vAlign w:val="center"/>
            <w:hideMark/>
          </w:tcPr>
          <w:p w:rsidR="00582B6B" w:rsidRPr="00582B6B" w:rsidRDefault="00582B6B" w:rsidP="00582B6B">
            <w:pPr>
              <w:jc w:val="center"/>
              <w:rPr>
                <w:b/>
                <w:bCs/>
                <w:sz w:val="28"/>
                <w:szCs w:val="28"/>
                <w:lang w:val="es-GT" w:eastAsia="es-GT"/>
              </w:rPr>
            </w:pPr>
            <w:r w:rsidRPr="00582B6B">
              <w:rPr>
                <w:b/>
                <w:bCs/>
                <w:sz w:val="28"/>
                <w:szCs w:val="28"/>
                <w:lang w:val="es-GT" w:eastAsia="es-GT"/>
              </w:rPr>
              <w:t>Ejecutado</w:t>
            </w:r>
          </w:p>
        </w:tc>
        <w:tc>
          <w:tcPr>
            <w:tcW w:w="1418" w:type="dxa"/>
            <w:vMerge/>
            <w:tcBorders>
              <w:top w:val="single" w:sz="12" w:space="0" w:color="auto"/>
              <w:left w:val="single" w:sz="4" w:space="0" w:color="auto"/>
              <w:bottom w:val="single" w:sz="8" w:space="0" w:color="000000"/>
              <w:right w:val="nil"/>
            </w:tcBorders>
            <w:vAlign w:val="center"/>
            <w:hideMark/>
          </w:tcPr>
          <w:p w:rsidR="00582B6B" w:rsidRPr="00582B6B" w:rsidRDefault="00582B6B" w:rsidP="00582B6B">
            <w:pPr>
              <w:rPr>
                <w:b/>
                <w:bCs/>
                <w:sz w:val="28"/>
                <w:szCs w:val="28"/>
                <w:lang w:val="es-GT" w:eastAsia="es-GT"/>
              </w:rPr>
            </w:pPr>
          </w:p>
        </w:tc>
        <w:tc>
          <w:tcPr>
            <w:tcW w:w="1701" w:type="dxa"/>
            <w:vMerge/>
            <w:tcBorders>
              <w:top w:val="single" w:sz="12" w:space="0" w:color="auto"/>
              <w:left w:val="single" w:sz="4" w:space="0" w:color="auto"/>
              <w:bottom w:val="single" w:sz="8" w:space="0" w:color="000000"/>
              <w:right w:val="single" w:sz="12" w:space="0" w:color="auto"/>
            </w:tcBorders>
            <w:vAlign w:val="center"/>
            <w:hideMark/>
          </w:tcPr>
          <w:p w:rsidR="00582B6B" w:rsidRPr="00582B6B" w:rsidRDefault="00582B6B" w:rsidP="00582B6B">
            <w:pPr>
              <w:rPr>
                <w:b/>
                <w:bCs/>
                <w:sz w:val="28"/>
                <w:szCs w:val="28"/>
                <w:lang w:val="es-GT" w:eastAsia="es-GT"/>
              </w:rPr>
            </w:pPr>
          </w:p>
        </w:tc>
      </w:tr>
      <w:tr w:rsidR="00582B6B" w:rsidRPr="00582B6B" w:rsidTr="00582B6B">
        <w:trPr>
          <w:trHeight w:val="435"/>
        </w:trPr>
        <w:tc>
          <w:tcPr>
            <w:tcW w:w="3104" w:type="dxa"/>
            <w:tcBorders>
              <w:top w:val="nil"/>
              <w:left w:val="single" w:sz="12" w:space="0" w:color="auto"/>
              <w:bottom w:val="nil"/>
              <w:right w:val="nil"/>
            </w:tcBorders>
            <w:shd w:val="clear" w:color="000000" w:fill="FFFFFF"/>
            <w:noWrap/>
            <w:vAlign w:val="center"/>
            <w:hideMark/>
          </w:tcPr>
          <w:p w:rsidR="00582B6B" w:rsidRPr="00582B6B" w:rsidRDefault="00582B6B" w:rsidP="00582B6B">
            <w:pPr>
              <w:rPr>
                <w:lang w:val="es-GT" w:eastAsia="es-GT"/>
              </w:rPr>
            </w:pPr>
            <w:r w:rsidRPr="00582B6B">
              <w:rPr>
                <w:lang w:val="es-GT" w:eastAsia="es-GT"/>
              </w:rPr>
              <w:t>Salud y Asistencia Social</w:t>
            </w:r>
          </w:p>
        </w:tc>
        <w:tc>
          <w:tcPr>
            <w:tcW w:w="1559" w:type="dxa"/>
            <w:tcBorders>
              <w:top w:val="single" w:sz="8" w:space="0" w:color="auto"/>
              <w:left w:val="single" w:sz="8" w:space="0" w:color="auto"/>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13,074.6</w:t>
            </w:r>
          </w:p>
        </w:tc>
        <w:tc>
          <w:tcPr>
            <w:tcW w:w="1559" w:type="dxa"/>
            <w:tcBorders>
              <w:top w:val="nil"/>
              <w:left w:val="nil"/>
              <w:bottom w:val="nil"/>
              <w:right w:val="single" w:sz="4" w:space="0" w:color="auto"/>
            </w:tcBorders>
            <w:shd w:val="clear" w:color="auto" w:fill="auto"/>
            <w:noWrap/>
            <w:vAlign w:val="center"/>
            <w:hideMark/>
          </w:tcPr>
          <w:p w:rsidR="00582B6B" w:rsidRPr="00582B6B" w:rsidRDefault="00582B6B" w:rsidP="00582B6B">
            <w:pPr>
              <w:jc w:val="center"/>
              <w:rPr>
                <w:lang w:val="es-GT" w:eastAsia="es-GT"/>
              </w:rPr>
            </w:pPr>
            <w:r w:rsidRPr="00582B6B">
              <w:rPr>
                <w:lang w:val="es-GT" w:eastAsia="es-GT"/>
              </w:rPr>
              <w:t>12,949.7</w:t>
            </w:r>
          </w:p>
        </w:tc>
        <w:tc>
          <w:tcPr>
            <w:tcW w:w="1418"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-124.9</w:t>
            </w:r>
          </w:p>
        </w:tc>
        <w:tc>
          <w:tcPr>
            <w:tcW w:w="1701" w:type="dxa"/>
            <w:tcBorders>
              <w:top w:val="nil"/>
              <w:left w:val="nil"/>
              <w:bottom w:val="nil"/>
              <w:right w:val="single" w:sz="12"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99.0%</w:t>
            </w:r>
          </w:p>
        </w:tc>
      </w:tr>
      <w:tr w:rsidR="00582B6B" w:rsidRPr="00582B6B" w:rsidTr="00582B6B">
        <w:trPr>
          <w:trHeight w:val="435"/>
        </w:trPr>
        <w:tc>
          <w:tcPr>
            <w:tcW w:w="3104" w:type="dxa"/>
            <w:tcBorders>
              <w:top w:val="nil"/>
              <w:left w:val="single" w:sz="12" w:space="0" w:color="auto"/>
              <w:bottom w:val="nil"/>
              <w:right w:val="nil"/>
            </w:tcBorders>
            <w:shd w:val="clear" w:color="000000" w:fill="FFFFFF"/>
            <w:noWrap/>
            <w:vAlign w:val="center"/>
            <w:hideMark/>
          </w:tcPr>
          <w:p w:rsidR="00582B6B" w:rsidRPr="00582B6B" w:rsidRDefault="00582B6B" w:rsidP="00582B6B">
            <w:pPr>
              <w:rPr>
                <w:lang w:val="es-GT" w:eastAsia="es-GT"/>
              </w:rPr>
            </w:pPr>
            <w:r w:rsidRPr="00582B6B">
              <w:rPr>
                <w:lang w:val="es-GT" w:eastAsia="es-GT"/>
              </w:rPr>
              <w:t>Educación, Ciencia y Cultura</w:t>
            </w:r>
          </w:p>
        </w:tc>
        <w:tc>
          <w:tcPr>
            <w:tcW w:w="1559" w:type="dxa"/>
            <w:tcBorders>
              <w:top w:val="nil"/>
              <w:left w:val="single" w:sz="8" w:space="0" w:color="auto"/>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21,333.4</w:t>
            </w:r>
          </w:p>
        </w:tc>
        <w:tc>
          <w:tcPr>
            <w:tcW w:w="1559"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21,767.6</w:t>
            </w:r>
          </w:p>
        </w:tc>
        <w:tc>
          <w:tcPr>
            <w:tcW w:w="1418"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434.2</w:t>
            </w:r>
          </w:p>
        </w:tc>
        <w:tc>
          <w:tcPr>
            <w:tcW w:w="1701" w:type="dxa"/>
            <w:tcBorders>
              <w:top w:val="nil"/>
              <w:left w:val="nil"/>
              <w:bottom w:val="nil"/>
              <w:right w:val="single" w:sz="12"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102.0%</w:t>
            </w:r>
          </w:p>
        </w:tc>
      </w:tr>
      <w:tr w:rsidR="00582B6B" w:rsidRPr="00582B6B" w:rsidTr="00582B6B">
        <w:trPr>
          <w:trHeight w:val="435"/>
        </w:trPr>
        <w:tc>
          <w:tcPr>
            <w:tcW w:w="3104" w:type="dxa"/>
            <w:tcBorders>
              <w:top w:val="nil"/>
              <w:left w:val="single" w:sz="12" w:space="0" w:color="auto"/>
              <w:bottom w:val="nil"/>
              <w:right w:val="nil"/>
            </w:tcBorders>
            <w:shd w:val="clear" w:color="000000" w:fill="FFFFFF"/>
            <w:noWrap/>
            <w:vAlign w:val="center"/>
            <w:hideMark/>
          </w:tcPr>
          <w:p w:rsidR="00582B6B" w:rsidRPr="00582B6B" w:rsidRDefault="00582B6B" w:rsidP="00582B6B">
            <w:pPr>
              <w:rPr>
                <w:lang w:val="es-GT" w:eastAsia="es-GT"/>
              </w:rPr>
            </w:pPr>
            <w:r w:rsidRPr="00582B6B">
              <w:rPr>
                <w:lang w:val="es-GT" w:eastAsia="es-GT"/>
              </w:rPr>
              <w:t>Vivienda</w:t>
            </w:r>
          </w:p>
        </w:tc>
        <w:tc>
          <w:tcPr>
            <w:tcW w:w="1559" w:type="dxa"/>
            <w:tcBorders>
              <w:top w:val="nil"/>
              <w:left w:val="single" w:sz="8" w:space="0" w:color="auto"/>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609.7</w:t>
            </w:r>
          </w:p>
        </w:tc>
        <w:tc>
          <w:tcPr>
            <w:tcW w:w="1559"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342.2</w:t>
            </w:r>
          </w:p>
        </w:tc>
        <w:tc>
          <w:tcPr>
            <w:tcW w:w="1418"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-267.5</w:t>
            </w:r>
          </w:p>
        </w:tc>
        <w:tc>
          <w:tcPr>
            <w:tcW w:w="1701" w:type="dxa"/>
            <w:tcBorders>
              <w:top w:val="nil"/>
              <w:left w:val="nil"/>
              <w:bottom w:val="nil"/>
              <w:right w:val="single" w:sz="12"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56.1%</w:t>
            </w:r>
          </w:p>
        </w:tc>
      </w:tr>
      <w:tr w:rsidR="00582B6B" w:rsidRPr="00582B6B" w:rsidTr="00582B6B">
        <w:trPr>
          <w:trHeight w:val="435"/>
        </w:trPr>
        <w:tc>
          <w:tcPr>
            <w:tcW w:w="3104" w:type="dxa"/>
            <w:tcBorders>
              <w:top w:val="nil"/>
              <w:left w:val="single" w:sz="12" w:space="0" w:color="auto"/>
              <w:bottom w:val="nil"/>
              <w:right w:val="nil"/>
            </w:tcBorders>
            <w:shd w:val="clear" w:color="000000" w:fill="FFFFFF"/>
            <w:noWrap/>
            <w:vAlign w:val="center"/>
            <w:hideMark/>
          </w:tcPr>
          <w:p w:rsidR="00582B6B" w:rsidRPr="00582B6B" w:rsidRDefault="00582B6B" w:rsidP="00582B6B">
            <w:pPr>
              <w:jc w:val="center"/>
              <w:rPr>
                <w:b/>
                <w:bCs/>
                <w:lang w:val="es-GT" w:eastAsia="es-GT"/>
              </w:rPr>
            </w:pPr>
            <w:r w:rsidRPr="00582B6B">
              <w:rPr>
                <w:b/>
                <w:bCs/>
                <w:lang w:val="es-GT" w:eastAsia="es-GT"/>
              </w:rPr>
              <w:t>Sub Total</w:t>
            </w:r>
          </w:p>
        </w:tc>
        <w:tc>
          <w:tcPr>
            <w:tcW w:w="1559" w:type="dxa"/>
            <w:tcBorders>
              <w:top w:val="nil"/>
              <w:left w:val="single" w:sz="8" w:space="0" w:color="auto"/>
              <w:bottom w:val="nil"/>
              <w:right w:val="single" w:sz="4" w:space="0" w:color="auto"/>
            </w:tcBorders>
            <w:shd w:val="clear" w:color="000000" w:fill="FFFFFF"/>
            <w:noWrap/>
            <w:vAlign w:val="center"/>
            <w:hideMark/>
          </w:tcPr>
          <w:p w:rsidR="00582B6B" w:rsidRPr="00582B6B" w:rsidRDefault="00582B6B" w:rsidP="00582B6B">
            <w:pPr>
              <w:jc w:val="center"/>
              <w:rPr>
                <w:b/>
                <w:bCs/>
                <w:lang w:val="es-GT" w:eastAsia="es-GT"/>
              </w:rPr>
            </w:pPr>
            <w:r w:rsidRPr="00582B6B">
              <w:rPr>
                <w:b/>
                <w:bCs/>
                <w:lang w:val="es-GT" w:eastAsia="es-GT"/>
              </w:rPr>
              <w:t>35,017.6</w:t>
            </w:r>
          </w:p>
        </w:tc>
        <w:tc>
          <w:tcPr>
            <w:tcW w:w="1559"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b/>
                <w:bCs/>
                <w:lang w:val="es-GT" w:eastAsia="es-GT"/>
              </w:rPr>
            </w:pPr>
            <w:r w:rsidRPr="00582B6B">
              <w:rPr>
                <w:b/>
                <w:bCs/>
                <w:lang w:val="es-GT" w:eastAsia="es-GT"/>
              </w:rPr>
              <w:t>35,059.5</w:t>
            </w:r>
          </w:p>
        </w:tc>
        <w:tc>
          <w:tcPr>
            <w:tcW w:w="1418"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b/>
                <w:bCs/>
                <w:lang w:val="es-GT" w:eastAsia="es-GT"/>
              </w:rPr>
            </w:pPr>
            <w:r w:rsidRPr="00582B6B">
              <w:rPr>
                <w:b/>
                <w:bCs/>
                <w:lang w:val="es-GT" w:eastAsia="es-GT"/>
              </w:rPr>
              <w:t>41.8</w:t>
            </w:r>
          </w:p>
        </w:tc>
        <w:tc>
          <w:tcPr>
            <w:tcW w:w="1701" w:type="dxa"/>
            <w:tcBorders>
              <w:top w:val="nil"/>
              <w:left w:val="nil"/>
              <w:bottom w:val="nil"/>
              <w:right w:val="single" w:sz="12" w:space="0" w:color="auto"/>
            </w:tcBorders>
            <w:shd w:val="clear" w:color="000000" w:fill="FFFFFF"/>
            <w:noWrap/>
            <w:vAlign w:val="center"/>
            <w:hideMark/>
          </w:tcPr>
          <w:p w:rsidR="00582B6B" w:rsidRPr="00582B6B" w:rsidRDefault="00582B6B" w:rsidP="00582B6B">
            <w:pPr>
              <w:jc w:val="center"/>
              <w:rPr>
                <w:b/>
                <w:bCs/>
                <w:lang w:val="es-GT" w:eastAsia="es-GT"/>
              </w:rPr>
            </w:pPr>
            <w:r w:rsidRPr="00582B6B">
              <w:rPr>
                <w:b/>
                <w:bCs/>
                <w:lang w:val="es-GT" w:eastAsia="es-GT"/>
              </w:rPr>
              <w:t>100.1%</w:t>
            </w:r>
          </w:p>
        </w:tc>
      </w:tr>
      <w:tr w:rsidR="00582B6B" w:rsidRPr="00582B6B" w:rsidTr="00582B6B">
        <w:trPr>
          <w:trHeight w:val="435"/>
        </w:trPr>
        <w:tc>
          <w:tcPr>
            <w:tcW w:w="3104" w:type="dxa"/>
            <w:tcBorders>
              <w:top w:val="nil"/>
              <w:left w:val="single" w:sz="12" w:space="0" w:color="auto"/>
              <w:bottom w:val="nil"/>
              <w:right w:val="nil"/>
            </w:tcBorders>
            <w:shd w:val="clear" w:color="000000" w:fill="FFFFFF"/>
            <w:noWrap/>
            <w:vAlign w:val="center"/>
            <w:hideMark/>
          </w:tcPr>
          <w:p w:rsidR="00582B6B" w:rsidRPr="00582B6B" w:rsidRDefault="00582B6B" w:rsidP="00582B6B">
            <w:pPr>
              <w:rPr>
                <w:lang w:val="es-GT" w:eastAsia="es-GT"/>
              </w:rPr>
            </w:pPr>
            <w:r w:rsidRPr="00582B6B">
              <w:rPr>
                <w:lang w:val="es-GT" w:eastAsia="es-GT"/>
              </w:rPr>
              <w:t>Seguridad Interna</w:t>
            </w:r>
          </w:p>
        </w:tc>
        <w:tc>
          <w:tcPr>
            <w:tcW w:w="1559" w:type="dxa"/>
            <w:tcBorders>
              <w:top w:val="nil"/>
              <w:left w:val="single" w:sz="8" w:space="0" w:color="auto"/>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5,815.2</w:t>
            </w:r>
          </w:p>
        </w:tc>
        <w:tc>
          <w:tcPr>
            <w:tcW w:w="1559"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5,755.6</w:t>
            </w:r>
          </w:p>
        </w:tc>
        <w:tc>
          <w:tcPr>
            <w:tcW w:w="1418"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-59.6</w:t>
            </w:r>
          </w:p>
        </w:tc>
        <w:tc>
          <w:tcPr>
            <w:tcW w:w="1701" w:type="dxa"/>
            <w:tcBorders>
              <w:top w:val="nil"/>
              <w:left w:val="nil"/>
              <w:bottom w:val="nil"/>
              <w:right w:val="single" w:sz="12"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99.0%</w:t>
            </w:r>
          </w:p>
        </w:tc>
      </w:tr>
      <w:tr w:rsidR="00582B6B" w:rsidRPr="00582B6B" w:rsidTr="00582B6B">
        <w:trPr>
          <w:trHeight w:val="435"/>
        </w:trPr>
        <w:tc>
          <w:tcPr>
            <w:tcW w:w="3104" w:type="dxa"/>
            <w:tcBorders>
              <w:top w:val="nil"/>
              <w:left w:val="single" w:sz="12" w:space="0" w:color="auto"/>
              <w:bottom w:val="nil"/>
              <w:right w:val="nil"/>
            </w:tcBorders>
            <w:shd w:val="clear" w:color="000000" w:fill="FFFFFF"/>
            <w:noWrap/>
            <w:vAlign w:val="center"/>
            <w:hideMark/>
          </w:tcPr>
          <w:p w:rsidR="00582B6B" w:rsidRPr="00582B6B" w:rsidRDefault="00582B6B" w:rsidP="00582B6B">
            <w:pPr>
              <w:rPr>
                <w:lang w:val="es-GT" w:eastAsia="es-GT"/>
              </w:rPr>
            </w:pPr>
            <w:r w:rsidRPr="00582B6B">
              <w:rPr>
                <w:lang w:val="es-GT" w:eastAsia="es-GT"/>
              </w:rPr>
              <w:t>Organismo Judicial y C.C</w:t>
            </w:r>
          </w:p>
        </w:tc>
        <w:tc>
          <w:tcPr>
            <w:tcW w:w="1559" w:type="dxa"/>
            <w:tcBorders>
              <w:top w:val="nil"/>
              <w:left w:val="single" w:sz="8" w:space="0" w:color="auto"/>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2,153.1</w:t>
            </w:r>
          </w:p>
        </w:tc>
        <w:tc>
          <w:tcPr>
            <w:tcW w:w="1559"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2,153.1</w:t>
            </w:r>
          </w:p>
        </w:tc>
        <w:tc>
          <w:tcPr>
            <w:tcW w:w="1418"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0.0</w:t>
            </w:r>
          </w:p>
        </w:tc>
        <w:tc>
          <w:tcPr>
            <w:tcW w:w="1701" w:type="dxa"/>
            <w:tcBorders>
              <w:top w:val="nil"/>
              <w:left w:val="nil"/>
              <w:bottom w:val="nil"/>
              <w:right w:val="single" w:sz="12"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100.0%</w:t>
            </w:r>
          </w:p>
        </w:tc>
      </w:tr>
      <w:tr w:rsidR="00582B6B" w:rsidRPr="00582B6B" w:rsidTr="00582B6B">
        <w:trPr>
          <w:trHeight w:val="435"/>
        </w:trPr>
        <w:tc>
          <w:tcPr>
            <w:tcW w:w="3104" w:type="dxa"/>
            <w:tcBorders>
              <w:top w:val="nil"/>
              <w:left w:val="single" w:sz="12" w:space="0" w:color="auto"/>
              <w:bottom w:val="nil"/>
              <w:right w:val="nil"/>
            </w:tcBorders>
            <w:shd w:val="clear" w:color="000000" w:fill="FFFFFF"/>
            <w:noWrap/>
            <w:vAlign w:val="center"/>
            <w:hideMark/>
          </w:tcPr>
          <w:p w:rsidR="00582B6B" w:rsidRPr="00582B6B" w:rsidRDefault="00582B6B" w:rsidP="00582B6B">
            <w:pPr>
              <w:rPr>
                <w:lang w:val="es-GT" w:eastAsia="es-GT"/>
              </w:rPr>
            </w:pPr>
            <w:r w:rsidRPr="00582B6B">
              <w:rPr>
                <w:lang w:val="es-GT" w:eastAsia="es-GT"/>
              </w:rPr>
              <w:t>Ministerio Público</w:t>
            </w:r>
          </w:p>
        </w:tc>
        <w:tc>
          <w:tcPr>
            <w:tcW w:w="1559" w:type="dxa"/>
            <w:tcBorders>
              <w:top w:val="nil"/>
              <w:left w:val="single" w:sz="8" w:space="0" w:color="auto"/>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1,799.1</w:t>
            </w:r>
          </w:p>
        </w:tc>
        <w:tc>
          <w:tcPr>
            <w:tcW w:w="1559"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1,799.1</w:t>
            </w:r>
          </w:p>
        </w:tc>
        <w:tc>
          <w:tcPr>
            <w:tcW w:w="1418" w:type="dxa"/>
            <w:tcBorders>
              <w:top w:val="nil"/>
              <w:left w:val="nil"/>
              <w:bottom w:val="nil"/>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0.0</w:t>
            </w:r>
          </w:p>
        </w:tc>
        <w:tc>
          <w:tcPr>
            <w:tcW w:w="1701" w:type="dxa"/>
            <w:tcBorders>
              <w:top w:val="nil"/>
              <w:left w:val="nil"/>
              <w:bottom w:val="nil"/>
              <w:right w:val="single" w:sz="12"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100.0%</w:t>
            </w:r>
          </w:p>
        </w:tc>
      </w:tr>
      <w:tr w:rsidR="00582B6B" w:rsidRPr="00582B6B" w:rsidTr="00582B6B">
        <w:trPr>
          <w:trHeight w:val="435"/>
        </w:trPr>
        <w:tc>
          <w:tcPr>
            <w:tcW w:w="3104" w:type="dxa"/>
            <w:tcBorders>
              <w:top w:val="nil"/>
              <w:left w:val="single" w:sz="12" w:space="0" w:color="auto"/>
              <w:bottom w:val="single" w:sz="8" w:space="0" w:color="auto"/>
              <w:right w:val="nil"/>
            </w:tcBorders>
            <w:shd w:val="clear" w:color="000000" w:fill="FFFFFF"/>
            <w:noWrap/>
            <w:vAlign w:val="center"/>
            <w:hideMark/>
          </w:tcPr>
          <w:p w:rsidR="00582B6B" w:rsidRPr="00582B6B" w:rsidRDefault="00582B6B" w:rsidP="00582B6B">
            <w:pPr>
              <w:jc w:val="center"/>
              <w:rPr>
                <w:b/>
                <w:bCs/>
                <w:lang w:val="es-GT" w:eastAsia="es-GT"/>
              </w:rPr>
            </w:pPr>
            <w:r w:rsidRPr="00582B6B">
              <w:rPr>
                <w:b/>
                <w:bCs/>
                <w:lang w:val="es-GT" w:eastAsia="es-GT"/>
              </w:rPr>
              <w:t>Total</w:t>
            </w:r>
          </w:p>
        </w:tc>
        <w:tc>
          <w:tcPr>
            <w:tcW w:w="1559" w:type="dxa"/>
            <w:tcBorders>
              <w:top w:val="nil"/>
              <w:left w:val="single" w:sz="8" w:space="0" w:color="auto"/>
              <w:bottom w:val="single" w:sz="8" w:space="0" w:color="auto"/>
              <w:right w:val="single" w:sz="4" w:space="0" w:color="auto"/>
            </w:tcBorders>
            <w:shd w:val="clear" w:color="000000" w:fill="FFFFFF"/>
            <w:noWrap/>
            <w:vAlign w:val="center"/>
            <w:hideMark/>
          </w:tcPr>
          <w:p w:rsidR="00582B6B" w:rsidRPr="00582B6B" w:rsidRDefault="00582B6B" w:rsidP="00582B6B">
            <w:pPr>
              <w:jc w:val="center"/>
              <w:rPr>
                <w:b/>
                <w:bCs/>
                <w:lang w:val="es-GT" w:eastAsia="es-GT"/>
              </w:rPr>
            </w:pPr>
            <w:r w:rsidRPr="00582B6B">
              <w:rPr>
                <w:b/>
                <w:bCs/>
                <w:lang w:val="es-GT" w:eastAsia="es-GT"/>
              </w:rPr>
              <w:t>44,785.1</w:t>
            </w:r>
          </w:p>
        </w:tc>
        <w:tc>
          <w:tcPr>
            <w:tcW w:w="1559" w:type="dxa"/>
            <w:tcBorders>
              <w:top w:val="nil"/>
              <w:left w:val="nil"/>
              <w:bottom w:val="single" w:sz="8" w:space="0" w:color="auto"/>
              <w:right w:val="single" w:sz="4" w:space="0" w:color="auto"/>
            </w:tcBorders>
            <w:shd w:val="clear" w:color="000000" w:fill="FFFFFF"/>
            <w:noWrap/>
            <w:vAlign w:val="center"/>
            <w:hideMark/>
          </w:tcPr>
          <w:p w:rsidR="00582B6B" w:rsidRPr="00582B6B" w:rsidRDefault="00582B6B" w:rsidP="00582B6B">
            <w:pPr>
              <w:jc w:val="center"/>
              <w:rPr>
                <w:b/>
                <w:bCs/>
                <w:lang w:val="es-GT" w:eastAsia="es-GT"/>
              </w:rPr>
            </w:pPr>
            <w:r w:rsidRPr="00582B6B">
              <w:rPr>
                <w:b/>
                <w:bCs/>
                <w:lang w:val="es-GT" w:eastAsia="es-GT"/>
              </w:rPr>
              <w:t>44,767.3</w:t>
            </w:r>
          </w:p>
        </w:tc>
        <w:tc>
          <w:tcPr>
            <w:tcW w:w="1418" w:type="dxa"/>
            <w:tcBorders>
              <w:top w:val="nil"/>
              <w:left w:val="nil"/>
              <w:bottom w:val="single" w:sz="8" w:space="0" w:color="auto"/>
              <w:right w:val="single" w:sz="4" w:space="0" w:color="auto"/>
            </w:tcBorders>
            <w:shd w:val="clear" w:color="000000" w:fill="FFFFFF"/>
            <w:noWrap/>
            <w:vAlign w:val="center"/>
            <w:hideMark/>
          </w:tcPr>
          <w:p w:rsidR="00582B6B" w:rsidRPr="00582B6B" w:rsidRDefault="00582B6B" w:rsidP="00582B6B">
            <w:pPr>
              <w:jc w:val="center"/>
              <w:rPr>
                <w:b/>
                <w:bCs/>
                <w:lang w:val="es-GT" w:eastAsia="es-GT"/>
              </w:rPr>
            </w:pPr>
            <w:r w:rsidRPr="00582B6B">
              <w:rPr>
                <w:b/>
                <w:bCs/>
                <w:lang w:val="es-GT" w:eastAsia="es-GT"/>
              </w:rPr>
              <w:t>-17.8</w:t>
            </w:r>
          </w:p>
        </w:tc>
        <w:tc>
          <w:tcPr>
            <w:tcW w:w="1701" w:type="dxa"/>
            <w:tcBorders>
              <w:top w:val="nil"/>
              <w:left w:val="nil"/>
              <w:bottom w:val="single" w:sz="8" w:space="0" w:color="auto"/>
              <w:right w:val="single" w:sz="12" w:space="0" w:color="auto"/>
            </w:tcBorders>
            <w:shd w:val="clear" w:color="000000" w:fill="FFFFFF"/>
            <w:noWrap/>
            <w:vAlign w:val="center"/>
            <w:hideMark/>
          </w:tcPr>
          <w:p w:rsidR="00582B6B" w:rsidRPr="00582B6B" w:rsidRDefault="00582B6B" w:rsidP="00582B6B">
            <w:pPr>
              <w:jc w:val="center"/>
              <w:rPr>
                <w:b/>
                <w:bCs/>
                <w:lang w:val="es-GT" w:eastAsia="es-GT"/>
              </w:rPr>
            </w:pPr>
            <w:r w:rsidRPr="00582B6B">
              <w:rPr>
                <w:b/>
                <w:bCs/>
                <w:lang w:val="es-GT" w:eastAsia="es-GT"/>
              </w:rPr>
              <w:t>100.0%</w:t>
            </w:r>
          </w:p>
        </w:tc>
      </w:tr>
      <w:tr w:rsidR="00582B6B" w:rsidRPr="00582B6B" w:rsidTr="00582B6B">
        <w:trPr>
          <w:trHeight w:val="435"/>
        </w:trPr>
        <w:tc>
          <w:tcPr>
            <w:tcW w:w="3104" w:type="dxa"/>
            <w:tcBorders>
              <w:top w:val="nil"/>
              <w:left w:val="single" w:sz="12" w:space="0" w:color="auto"/>
              <w:bottom w:val="single" w:sz="12" w:space="0" w:color="auto"/>
              <w:right w:val="nil"/>
            </w:tcBorders>
            <w:shd w:val="clear" w:color="000000" w:fill="FFFFFF"/>
            <w:noWrap/>
            <w:vAlign w:val="center"/>
            <w:hideMark/>
          </w:tcPr>
          <w:p w:rsidR="00582B6B" w:rsidRPr="00582B6B" w:rsidRDefault="00582B6B" w:rsidP="00582B6B">
            <w:pPr>
              <w:rPr>
                <w:lang w:val="es-GT" w:eastAsia="es-GT"/>
              </w:rPr>
            </w:pPr>
            <w:r w:rsidRPr="00582B6B">
              <w:rPr>
                <w:lang w:val="es-GT" w:eastAsia="es-GT"/>
              </w:rPr>
              <w:t>Ejército de Guatemala</w:t>
            </w:r>
          </w:p>
        </w:tc>
        <w:tc>
          <w:tcPr>
            <w:tcW w:w="1559" w:type="dxa"/>
            <w:tcBorders>
              <w:top w:val="nil"/>
              <w:left w:val="single" w:sz="8" w:space="0" w:color="auto"/>
              <w:bottom w:val="single" w:sz="12" w:space="0" w:color="auto"/>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2,627.7</w:t>
            </w:r>
          </w:p>
        </w:tc>
        <w:tc>
          <w:tcPr>
            <w:tcW w:w="1559" w:type="dxa"/>
            <w:tcBorders>
              <w:top w:val="nil"/>
              <w:left w:val="nil"/>
              <w:bottom w:val="single" w:sz="12" w:space="0" w:color="auto"/>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2,598.4</w:t>
            </w:r>
          </w:p>
        </w:tc>
        <w:tc>
          <w:tcPr>
            <w:tcW w:w="1418" w:type="dxa"/>
            <w:tcBorders>
              <w:top w:val="nil"/>
              <w:left w:val="nil"/>
              <w:bottom w:val="single" w:sz="12" w:space="0" w:color="auto"/>
              <w:right w:val="single" w:sz="4"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-29.3</w:t>
            </w:r>
          </w:p>
        </w:tc>
        <w:tc>
          <w:tcPr>
            <w:tcW w:w="1701" w:type="dxa"/>
            <w:tcBorders>
              <w:top w:val="nil"/>
              <w:left w:val="nil"/>
              <w:bottom w:val="single" w:sz="12" w:space="0" w:color="auto"/>
              <w:right w:val="single" w:sz="12" w:space="0" w:color="auto"/>
            </w:tcBorders>
            <w:shd w:val="clear" w:color="000000" w:fill="FFFFFF"/>
            <w:noWrap/>
            <w:vAlign w:val="center"/>
            <w:hideMark/>
          </w:tcPr>
          <w:p w:rsidR="00582B6B" w:rsidRPr="00582B6B" w:rsidRDefault="00582B6B" w:rsidP="00582B6B">
            <w:pPr>
              <w:jc w:val="center"/>
              <w:rPr>
                <w:lang w:val="es-GT" w:eastAsia="es-GT"/>
              </w:rPr>
            </w:pPr>
            <w:r w:rsidRPr="00582B6B">
              <w:rPr>
                <w:lang w:val="es-GT" w:eastAsia="es-GT"/>
              </w:rPr>
              <w:t>98.9%</w:t>
            </w:r>
          </w:p>
        </w:tc>
      </w:tr>
    </w:tbl>
    <w:p w:rsidR="00011502" w:rsidRDefault="00011502" w:rsidP="00011502">
      <w:pPr>
        <w:jc w:val="both"/>
        <w:rPr>
          <w:sz w:val="18"/>
        </w:rPr>
      </w:pPr>
      <w:r>
        <w:rPr>
          <w:sz w:val="18"/>
        </w:rPr>
        <w:t>* Cifras preliminares</w:t>
      </w:r>
    </w:p>
    <w:p w:rsidR="00011502" w:rsidRPr="00245DF7" w:rsidRDefault="00011502" w:rsidP="00011502">
      <w:pPr>
        <w:jc w:val="both"/>
        <w:rPr>
          <w:sz w:val="18"/>
        </w:rPr>
      </w:pPr>
      <w:r w:rsidRPr="00245DF7">
        <w:rPr>
          <w:sz w:val="18"/>
        </w:rPr>
        <w:t>Fuente: Ministerio de Finanzas Públicas</w:t>
      </w:r>
      <w:r>
        <w:rPr>
          <w:sz w:val="18"/>
        </w:rPr>
        <w:t>.</w:t>
      </w:r>
    </w:p>
    <w:p w:rsidR="00011502" w:rsidRPr="00124AD6" w:rsidRDefault="00011502" w:rsidP="00011502">
      <w:pPr>
        <w:jc w:val="both"/>
      </w:pPr>
    </w:p>
    <w:p w:rsidR="00011502" w:rsidRPr="00256F9C" w:rsidRDefault="00011502" w:rsidP="00011502">
      <w:pPr>
        <w:pStyle w:val="Ttulo3"/>
        <w:numPr>
          <w:ilvl w:val="0"/>
          <w:numId w:val="2"/>
        </w:numPr>
        <w:spacing w:line="276" w:lineRule="auto"/>
        <w:ind w:left="426"/>
        <w:rPr>
          <w:rFonts w:ascii="Times New Roman" w:hAnsi="Times New Roman"/>
          <w:color w:val="000000" w:themeColor="text1"/>
        </w:rPr>
      </w:pPr>
      <w:bookmarkStart w:id="16" w:name="_Toc32829793"/>
      <w:r w:rsidRPr="00256F9C">
        <w:rPr>
          <w:rFonts w:ascii="Times New Roman" w:hAnsi="Times New Roman"/>
          <w:color w:val="000000" w:themeColor="text1"/>
          <w:lang w:val="es-MX"/>
        </w:rPr>
        <w:t>Ejecución</w:t>
      </w:r>
      <w:r w:rsidRPr="00256F9C">
        <w:rPr>
          <w:rFonts w:ascii="Times New Roman" w:hAnsi="Times New Roman"/>
          <w:color w:val="000000" w:themeColor="text1"/>
        </w:rPr>
        <w:t xml:space="preserve"> de los </w:t>
      </w:r>
      <w:r>
        <w:rPr>
          <w:rFonts w:ascii="Times New Roman" w:hAnsi="Times New Roman"/>
          <w:color w:val="000000" w:themeColor="text1"/>
        </w:rPr>
        <w:t>F</w:t>
      </w:r>
      <w:r w:rsidRPr="00256F9C">
        <w:rPr>
          <w:rFonts w:ascii="Times New Roman" w:hAnsi="Times New Roman"/>
          <w:color w:val="000000" w:themeColor="text1"/>
        </w:rPr>
        <w:t>ideicomisos p</w:t>
      </w:r>
      <w:r w:rsidRPr="00256F9C">
        <w:rPr>
          <w:rFonts w:ascii="Times New Roman" w:hAnsi="Times New Roman"/>
          <w:color w:val="000000" w:themeColor="text1"/>
          <w:lang w:val="es-MX"/>
        </w:rPr>
        <w:t>ara</w:t>
      </w:r>
      <w:r w:rsidRPr="00256F9C">
        <w:rPr>
          <w:rFonts w:ascii="Times New Roman" w:hAnsi="Times New Roman"/>
          <w:color w:val="000000" w:themeColor="text1"/>
        </w:rPr>
        <w:t xml:space="preserve"> </w:t>
      </w:r>
      <w:r>
        <w:rPr>
          <w:rFonts w:ascii="Times New Roman" w:hAnsi="Times New Roman"/>
          <w:color w:val="000000" w:themeColor="text1"/>
        </w:rPr>
        <w:t>P</w:t>
      </w:r>
      <w:r w:rsidRPr="00256F9C">
        <w:rPr>
          <w:rFonts w:ascii="Times New Roman" w:hAnsi="Times New Roman"/>
          <w:color w:val="000000" w:themeColor="text1"/>
        </w:rPr>
        <w:t xml:space="preserve">rogramas de </w:t>
      </w:r>
      <w:r>
        <w:rPr>
          <w:rFonts w:ascii="Times New Roman" w:hAnsi="Times New Roman"/>
          <w:color w:val="000000" w:themeColor="text1"/>
        </w:rPr>
        <w:t>P</w:t>
      </w:r>
      <w:r w:rsidRPr="00256F9C">
        <w:rPr>
          <w:rFonts w:ascii="Times New Roman" w:hAnsi="Times New Roman"/>
          <w:color w:val="000000" w:themeColor="text1"/>
        </w:rPr>
        <w:t xml:space="preserve">rotección </w:t>
      </w:r>
      <w:r>
        <w:rPr>
          <w:rFonts w:ascii="Times New Roman" w:hAnsi="Times New Roman"/>
          <w:color w:val="000000" w:themeColor="text1"/>
        </w:rPr>
        <w:t>S</w:t>
      </w:r>
      <w:r w:rsidRPr="00256F9C">
        <w:rPr>
          <w:rFonts w:ascii="Times New Roman" w:hAnsi="Times New Roman"/>
          <w:color w:val="000000" w:themeColor="text1"/>
        </w:rPr>
        <w:t>ocial</w:t>
      </w:r>
      <w:bookmarkEnd w:id="16"/>
    </w:p>
    <w:p w:rsidR="00011502" w:rsidRDefault="00011502" w:rsidP="00011502">
      <w:pPr>
        <w:jc w:val="both"/>
      </w:pPr>
    </w:p>
    <w:p w:rsidR="00011502" w:rsidRDefault="00011502" w:rsidP="00011502">
      <w:pPr>
        <w:jc w:val="both"/>
        <w:rPr>
          <w:lang w:val="es-GT" w:eastAsia="es-GT"/>
        </w:rPr>
      </w:pPr>
      <w:r w:rsidRPr="00124AD6">
        <w:t>La ejecución a través de los fideicomisos al 31 de diciembre de 201</w:t>
      </w:r>
      <w:r>
        <w:t>9</w:t>
      </w:r>
      <w:r w:rsidRPr="00124AD6">
        <w:t xml:space="preserve"> fue de </w:t>
      </w:r>
      <w:r>
        <w:t>Q</w:t>
      </w:r>
      <w:r w:rsidR="00284088">
        <w:t>.</w:t>
      </w:r>
      <w:r>
        <w:t>997.4</w:t>
      </w:r>
      <w:r w:rsidRPr="00124AD6">
        <w:t xml:space="preserve"> millones, </w:t>
      </w:r>
      <w:r>
        <w:t>que representa</w:t>
      </w:r>
      <w:r w:rsidR="00284088">
        <w:t>n el</w:t>
      </w:r>
      <w:r>
        <w:t xml:space="preserve"> 72.9% de ejecución respecto </w:t>
      </w:r>
      <w:r w:rsidR="00284088">
        <w:t>del</w:t>
      </w:r>
      <w:r>
        <w:t xml:space="preserve"> presupuesto aprobado </w:t>
      </w:r>
      <w:r w:rsidR="00284088">
        <w:t xml:space="preserve">por el monto de </w:t>
      </w:r>
      <w:r>
        <w:t>Q</w:t>
      </w:r>
      <w:r w:rsidR="00284088">
        <w:t>.</w:t>
      </w:r>
      <w:r>
        <w:t xml:space="preserve">1,368.2 millones. El Fondo de Desarrollo Social </w:t>
      </w:r>
      <w:r w:rsidR="00284088">
        <w:t>reportó</w:t>
      </w:r>
      <w:r>
        <w:t xml:space="preserve"> una ejecución del 66.6% de su presupuesto aprobado y </w:t>
      </w:r>
      <w:r w:rsidR="00284088">
        <w:t>con relación al</w:t>
      </w:r>
      <w:r>
        <w:t xml:space="preserve"> total de la ejecución de </w:t>
      </w:r>
      <w:r w:rsidR="00284088">
        <w:t xml:space="preserve">los </w:t>
      </w:r>
      <w:r>
        <w:t>fideicomisos</w:t>
      </w:r>
      <w:r w:rsidR="00284088">
        <w:t xml:space="preserve"> el</w:t>
      </w:r>
      <w:r>
        <w:t xml:space="preserve"> 30.7%</w:t>
      </w:r>
      <w:r w:rsidR="00284088">
        <w:t>. L</w:t>
      </w:r>
      <w:r>
        <w:t>e sigue el Fondo de Inversión para la Vivienda con una ejecución de Q</w:t>
      </w:r>
      <w:r w:rsidR="00284088">
        <w:t>.</w:t>
      </w:r>
      <w:r>
        <w:t>262.6 millones, equivalentes al 26.3% del total ejecutado según la estructura</w:t>
      </w:r>
      <w:r w:rsidR="00284088">
        <w:t>. E</w:t>
      </w:r>
      <w:r>
        <w:t xml:space="preserve">l </w:t>
      </w:r>
      <w:r w:rsidR="00284088">
        <w:t>F</w:t>
      </w:r>
      <w:r>
        <w:t>ondo de Protección Social ejecutó Q</w:t>
      </w:r>
      <w:r w:rsidR="00284088">
        <w:t>.</w:t>
      </w:r>
      <w:r>
        <w:t>232.7 millones, equivalentes al 23.3% del total ejecutado</w:t>
      </w:r>
      <w:r w:rsidR="00284088">
        <w:t>;</w:t>
      </w:r>
      <w:r>
        <w:t xml:space="preserve"> seguidamente se ubicó el Fondo Social de Solidaridad con una ejecución de Q</w:t>
      </w:r>
      <w:r w:rsidR="00284088">
        <w:t>.</w:t>
      </w:r>
      <w:r>
        <w:t>85.3 millones, equivalentes, según la estructura del total de gasto por fideicomisos, a 8</w:t>
      </w:r>
      <w:r w:rsidR="00284088">
        <w:t>.</w:t>
      </w:r>
      <w:r>
        <w:t>6%</w:t>
      </w:r>
      <w:r w:rsidR="00284088">
        <w:t>. E</w:t>
      </w:r>
      <w:r>
        <w:t xml:space="preserve">l </w:t>
      </w:r>
      <w:r w:rsidRPr="00CA6C21">
        <w:rPr>
          <w:lang w:val="es-GT" w:eastAsia="es-GT"/>
        </w:rPr>
        <w:t>Fondo Nacional para la Reactivación y Modernización de la Actividad Agropecuaria</w:t>
      </w:r>
      <w:r>
        <w:rPr>
          <w:lang w:val="es-GT" w:eastAsia="es-GT"/>
        </w:rPr>
        <w:t xml:space="preserve"> ejecutó Q</w:t>
      </w:r>
      <w:r w:rsidR="00284088">
        <w:rPr>
          <w:lang w:val="es-GT" w:eastAsia="es-GT"/>
        </w:rPr>
        <w:t>.</w:t>
      </w:r>
      <w:r>
        <w:rPr>
          <w:lang w:val="es-GT" w:eastAsia="es-GT"/>
        </w:rPr>
        <w:t xml:space="preserve">81.3 millones que equivalen al 8.2% del </w:t>
      </w:r>
      <w:r>
        <w:rPr>
          <w:lang w:val="es-GT" w:eastAsia="es-GT"/>
        </w:rPr>
        <w:lastRenderedPageBreak/>
        <w:t>total ejecutado, mientras que los restantes 5 fideicomisos ejecutaron Q</w:t>
      </w:r>
      <w:r w:rsidR="00284088">
        <w:rPr>
          <w:lang w:val="es-GT" w:eastAsia="es-GT"/>
        </w:rPr>
        <w:t>.</w:t>
      </w:r>
      <w:r>
        <w:rPr>
          <w:lang w:val="es-GT" w:eastAsia="es-GT"/>
        </w:rPr>
        <w:t>29.4 millones en su conjunto, equivalentes al 2.9% del total ejecutado.</w:t>
      </w:r>
    </w:p>
    <w:p w:rsidR="00011502" w:rsidRDefault="00011502" w:rsidP="00011502">
      <w:pPr>
        <w:jc w:val="center"/>
        <w:rPr>
          <w:b/>
        </w:rPr>
      </w:pPr>
    </w:p>
    <w:p w:rsidR="00011502" w:rsidRPr="00124AD6" w:rsidRDefault="00011502" w:rsidP="00011502">
      <w:pPr>
        <w:jc w:val="center"/>
        <w:rPr>
          <w:b/>
        </w:rPr>
      </w:pPr>
      <w:r w:rsidRPr="00124AD6">
        <w:rPr>
          <w:b/>
        </w:rPr>
        <w:t xml:space="preserve">Cuadro </w:t>
      </w:r>
      <w:r>
        <w:rPr>
          <w:b/>
        </w:rPr>
        <w:t>6</w:t>
      </w:r>
    </w:p>
    <w:p w:rsidR="00011502" w:rsidRPr="00124AD6" w:rsidRDefault="00011502" w:rsidP="00011502">
      <w:pPr>
        <w:jc w:val="center"/>
        <w:rPr>
          <w:b/>
        </w:rPr>
      </w:pPr>
      <w:r w:rsidRPr="00124AD6">
        <w:rPr>
          <w:b/>
        </w:rPr>
        <w:t xml:space="preserve">Ejecución a través de Fideicomisos al 31 de diciembre </w:t>
      </w:r>
      <w:r>
        <w:rPr>
          <w:b/>
        </w:rPr>
        <w:t>201</w:t>
      </w:r>
      <w:r w:rsidR="004A2526">
        <w:rPr>
          <w:b/>
        </w:rPr>
        <w:t>9</w:t>
      </w:r>
      <w:r>
        <w:rPr>
          <w:b/>
        </w:rPr>
        <w:t>*</w:t>
      </w:r>
    </w:p>
    <w:p w:rsidR="00011502" w:rsidRPr="00AF03ED" w:rsidRDefault="00011502" w:rsidP="00011502">
      <w:pPr>
        <w:jc w:val="center"/>
        <w:rPr>
          <w:b/>
          <w:bCs/>
          <w:lang w:val="es-GT" w:eastAsia="es-GT"/>
        </w:rPr>
      </w:pPr>
      <w:r w:rsidRPr="00124AD6">
        <w:rPr>
          <w:b/>
          <w:bCs/>
          <w:lang w:val="es-GT" w:eastAsia="es-GT"/>
        </w:rPr>
        <w:t>(Millones de Quetzales y Porcentajes)</w:t>
      </w:r>
    </w:p>
    <w:tbl>
      <w:tblPr>
        <w:tblW w:w="9063" w:type="dxa"/>
        <w:tblInd w:w="80" w:type="dxa"/>
        <w:tblCellMar>
          <w:left w:w="70" w:type="dxa"/>
          <w:right w:w="70" w:type="dxa"/>
        </w:tblCellMar>
        <w:tblLook w:val="04A0" w:firstRow="1" w:lastRow="0" w:firstColumn="1" w:lastColumn="0" w:noHBand="0" w:noVBand="1"/>
      </w:tblPr>
      <w:tblGrid>
        <w:gridCol w:w="3921"/>
        <w:gridCol w:w="1007"/>
        <w:gridCol w:w="1007"/>
        <w:gridCol w:w="992"/>
        <w:gridCol w:w="1062"/>
        <w:gridCol w:w="1074"/>
      </w:tblGrid>
      <w:tr w:rsidR="00011502" w:rsidRPr="002166DC" w:rsidTr="00011502">
        <w:trPr>
          <w:trHeight w:val="585"/>
        </w:trPr>
        <w:tc>
          <w:tcPr>
            <w:tcW w:w="3922" w:type="dxa"/>
            <w:vMerge w:val="restart"/>
            <w:tcBorders>
              <w:top w:val="single" w:sz="8" w:space="0" w:color="auto"/>
              <w:left w:val="single" w:sz="8" w:space="0" w:color="auto"/>
              <w:bottom w:val="single" w:sz="4" w:space="0" w:color="000000"/>
              <w:right w:val="single" w:sz="4" w:space="0" w:color="auto"/>
            </w:tcBorders>
            <w:shd w:val="clear" w:color="000000" w:fill="8DB4E2"/>
            <w:vAlign w:val="center"/>
            <w:hideMark/>
          </w:tcPr>
          <w:p w:rsidR="00011502" w:rsidRPr="002166DC" w:rsidRDefault="00011502" w:rsidP="00011502">
            <w:pPr>
              <w:jc w:val="center"/>
              <w:rPr>
                <w:b/>
                <w:bCs/>
                <w:sz w:val="20"/>
                <w:lang w:val="es-GT" w:eastAsia="es-GT"/>
              </w:rPr>
            </w:pPr>
            <w:r w:rsidRPr="002166DC">
              <w:rPr>
                <w:b/>
                <w:bCs/>
                <w:sz w:val="20"/>
                <w:lang w:val="es-GT" w:eastAsia="es-GT"/>
              </w:rPr>
              <w:t>Descripción</w:t>
            </w:r>
          </w:p>
        </w:tc>
        <w:tc>
          <w:tcPr>
            <w:tcW w:w="2014" w:type="dxa"/>
            <w:gridSpan w:val="2"/>
            <w:tcBorders>
              <w:top w:val="single" w:sz="8" w:space="0" w:color="auto"/>
              <w:left w:val="single" w:sz="4" w:space="0" w:color="auto"/>
              <w:bottom w:val="single" w:sz="4" w:space="0" w:color="auto"/>
              <w:right w:val="single" w:sz="4" w:space="0" w:color="000000"/>
            </w:tcBorders>
            <w:shd w:val="clear" w:color="000000" w:fill="8DB4E2"/>
            <w:vAlign w:val="center"/>
            <w:hideMark/>
          </w:tcPr>
          <w:p w:rsidR="00011502" w:rsidRPr="002166DC" w:rsidRDefault="00011502" w:rsidP="00011502">
            <w:pPr>
              <w:jc w:val="center"/>
              <w:rPr>
                <w:b/>
                <w:bCs/>
                <w:sz w:val="20"/>
                <w:lang w:val="es-GT" w:eastAsia="es-GT"/>
              </w:rPr>
            </w:pPr>
            <w:r w:rsidRPr="002166DC">
              <w:rPr>
                <w:b/>
                <w:bCs/>
                <w:sz w:val="20"/>
                <w:lang w:val="es-GT" w:eastAsia="es-GT"/>
              </w:rPr>
              <w:t>Presupuesto</w:t>
            </w:r>
          </w:p>
        </w:tc>
        <w:tc>
          <w:tcPr>
            <w:tcW w:w="992"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011502" w:rsidRPr="002166DC" w:rsidRDefault="00011502" w:rsidP="002F0F87">
            <w:pPr>
              <w:jc w:val="center"/>
              <w:rPr>
                <w:b/>
                <w:bCs/>
                <w:sz w:val="20"/>
                <w:lang w:val="es-GT" w:eastAsia="es-GT"/>
              </w:rPr>
            </w:pPr>
            <w:r w:rsidRPr="002166DC">
              <w:rPr>
                <w:b/>
                <w:bCs/>
                <w:sz w:val="20"/>
                <w:lang w:val="es-GT" w:eastAsia="es-GT"/>
              </w:rPr>
              <w:t>Variación Abs</w:t>
            </w:r>
            <w:r w:rsidR="002F0F87">
              <w:rPr>
                <w:b/>
                <w:bCs/>
                <w:sz w:val="20"/>
                <w:lang w:val="es-GT" w:eastAsia="es-GT"/>
              </w:rPr>
              <w:t>oluta</w:t>
            </w:r>
          </w:p>
        </w:tc>
        <w:tc>
          <w:tcPr>
            <w:tcW w:w="1062" w:type="dxa"/>
            <w:vMerge w:val="restart"/>
            <w:tcBorders>
              <w:top w:val="single" w:sz="8" w:space="0" w:color="auto"/>
              <w:left w:val="nil"/>
              <w:bottom w:val="single" w:sz="4" w:space="0" w:color="000000"/>
              <w:right w:val="single" w:sz="8" w:space="0" w:color="auto"/>
            </w:tcBorders>
            <w:shd w:val="clear" w:color="000000" w:fill="8DB4E2"/>
            <w:vAlign w:val="center"/>
            <w:hideMark/>
          </w:tcPr>
          <w:p w:rsidR="00011502" w:rsidRPr="002166DC" w:rsidRDefault="00011502" w:rsidP="00011502">
            <w:pPr>
              <w:jc w:val="center"/>
              <w:rPr>
                <w:b/>
                <w:bCs/>
                <w:sz w:val="20"/>
                <w:lang w:val="es-GT" w:eastAsia="es-GT"/>
              </w:rPr>
            </w:pPr>
            <w:r w:rsidRPr="002166DC">
              <w:rPr>
                <w:b/>
                <w:bCs/>
                <w:sz w:val="20"/>
                <w:lang w:val="es-GT" w:eastAsia="es-GT"/>
              </w:rPr>
              <w:t>Porcentaje de Ejecución</w:t>
            </w:r>
          </w:p>
        </w:tc>
        <w:tc>
          <w:tcPr>
            <w:tcW w:w="1073" w:type="dxa"/>
            <w:vMerge w:val="restart"/>
            <w:tcBorders>
              <w:top w:val="single" w:sz="8" w:space="0" w:color="auto"/>
              <w:left w:val="nil"/>
              <w:bottom w:val="single" w:sz="4" w:space="0" w:color="000000"/>
              <w:right w:val="single" w:sz="8" w:space="0" w:color="auto"/>
            </w:tcBorders>
            <w:shd w:val="clear" w:color="000000" w:fill="8DB4E2"/>
            <w:vAlign w:val="center"/>
            <w:hideMark/>
          </w:tcPr>
          <w:p w:rsidR="00011502" w:rsidRPr="002166DC" w:rsidRDefault="00011502" w:rsidP="00011502">
            <w:pPr>
              <w:jc w:val="center"/>
              <w:rPr>
                <w:b/>
                <w:bCs/>
                <w:sz w:val="20"/>
                <w:lang w:val="es-GT" w:eastAsia="es-GT"/>
              </w:rPr>
            </w:pPr>
            <w:r w:rsidRPr="002166DC">
              <w:rPr>
                <w:b/>
                <w:bCs/>
                <w:sz w:val="20"/>
                <w:lang w:val="es-GT" w:eastAsia="es-GT"/>
              </w:rPr>
              <w:t>Estructura de la Ejecución</w:t>
            </w:r>
          </w:p>
        </w:tc>
      </w:tr>
      <w:tr w:rsidR="00011502" w:rsidRPr="002166DC" w:rsidTr="00011502">
        <w:trPr>
          <w:trHeight w:val="585"/>
        </w:trPr>
        <w:tc>
          <w:tcPr>
            <w:tcW w:w="3922" w:type="dxa"/>
            <w:vMerge/>
            <w:tcBorders>
              <w:top w:val="single" w:sz="8" w:space="0" w:color="auto"/>
              <w:left w:val="single" w:sz="8" w:space="0" w:color="auto"/>
              <w:bottom w:val="single" w:sz="4" w:space="0" w:color="000000"/>
              <w:right w:val="single" w:sz="4" w:space="0" w:color="auto"/>
            </w:tcBorders>
            <w:vAlign w:val="center"/>
            <w:hideMark/>
          </w:tcPr>
          <w:p w:rsidR="00011502" w:rsidRPr="002166DC" w:rsidRDefault="00011502" w:rsidP="00011502">
            <w:pPr>
              <w:rPr>
                <w:b/>
                <w:bCs/>
                <w:sz w:val="20"/>
                <w:lang w:val="es-GT" w:eastAsia="es-GT"/>
              </w:rPr>
            </w:pPr>
          </w:p>
        </w:tc>
        <w:tc>
          <w:tcPr>
            <w:tcW w:w="1007" w:type="dxa"/>
            <w:tcBorders>
              <w:top w:val="nil"/>
              <w:left w:val="single" w:sz="4" w:space="0" w:color="auto"/>
              <w:bottom w:val="single" w:sz="4" w:space="0" w:color="auto"/>
              <w:right w:val="single" w:sz="4" w:space="0" w:color="auto"/>
            </w:tcBorders>
            <w:shd w:val="clear" w:color="000000" w:fill="8DB4E2"/>
            <w:vAlign w:val="center"/>
            <w:hideMark/>
          </w:tcPr>
          <w:p w:rsidR="00011502" w:rsidRPr="002166DC" w:rsidRDefault="00011502" w:rsidP="00011502">
            <w:pPr>
              <w:jc w:val="center"/>
              <w:rPr>
                <w:b/>
                <w:bCs/>
                <w:sz w:val="20"/>
                <w:lang w:val="es-GT" w:eastAsia="es-GT"/>
              </w:rPr>
            </w:pPr>
            <w:r w:rsidRPr="002166DC">
              <w:rPr>
                <w:b/>
                <w:bCs/>
                <w:sz w:val="20"/>
                <w:lang w:val="es-GT" w:eastAsia="es-GT"/>
              </w:rPr>
              <w:t>Aprobado</w:t>
            </w:r>
          </w:p>
        </w:tc>
        <w:tc>
          <w:tcPr>
            <w:tcW w:w="1007" w:type="dxa"/>
            <w:tcBorders>
              <w:top w:val="nil"/>
              <w:left w:val="nil"/>
              <w:bottom w:val="single" w:sz="4" w:space="0" w:color="auto"/>
              <w:right w:val="single" w:sz="4" w:space="0" w:color="auto"/>
            </w:tcBorders>
            <w:shd w:val="clear" w:color="000000" w:fill="8DB4E2"/>
            <w:vAlign w:val="center"/>
            <w:hideMark/>
          </w:tcPr>
          <w:p w:rsidR="00011502" w:rsidRPr="002166DC" w:rsidRDefault="00011502" w:rsidP="00011502">
            <w:pPr>
              <w:jc w:val="center"/>
              <w:rPr>
                <w:b/>
                <w:bCs/>
                <w:sz w:val="20"/>
                <w:lang w:val="es-GT" w:eastAsia="es-GT"/>
              </w:rPr>
            </w:pPr>
            <w:r w:rsidRPr="002166DC">
              <w:rPr>
                <w:b/>
                <w:bCs/>
                <w:sz w:val="20"/>
                <w:lang w:val="es-GT" w:eastAsia="es-GT"/>
              </w:rPr>
              <w:t>Ejecutado</w:t>
            </w:r>
          </w:p>
        </w:tc>
        <w:tc>
          <w:tcPr>
            <w:tcW w:w="992" w:type="dxa"/>
            <w:vMerge/>
            <w:tcBorders>
              <w:top w:val="single" w:sz="8" w:space="0" w:color="auto"/>
              <w:left w:val="single" w:sz="4" w:space="0" w:color="auto"/>
              <w:bottom w:val="single" w:sz="4" w:space="0" w:color="000000"/>
              <w:right w:val="single" w:sz="4" w:space="0" w:color="auto"/>
            </w:tcBorders>
            <w:vAlign w:val="center"/>
            <w:hideMark/>
          </w:tcPr>
          <w:p w:rsidR="00011502" w:rsidRPr="002166DC" w:rsidRDefault="00011502" w:rsidP="00011502">
            <w:pPr>
              <w:rPr>
                <w:b/>
                <w:bCs/>
                <w:sz w:val="20"/>
                <w:lang w:val="es-GT" w:eastAsia="es-GT"/>
              </w:rPr>
            </w:pPr>
          </w:p>
        </w:tc>
        <w:tc>
          <w:tcPr>
            <w:tcW w:w="1062" w:type="dxa"/>
            <w:vMerge/>
            <w:tcBorders>
              <w:top w:val="single" w:sz="8" w:space="0" w:color="auto"/>
              <w:left w:val="nil"/>
              <w:bottom w:val="single" w:sz="4" w:space="0" w:color="000000"/>
              <w:right w:val="single" w:sz="8" w:space="0" w:color="auto"/>
            </w:tcBorders>
            <w:vAlign w:val="center"/>
            <w:hideMark/>
          </w:tcPr>
          <w:p w:rsidR="00011502" w:rsidRPr="002166DC" w:rsidRDefault="00011502" w:rsidP="00011502">
            <w:pPr>
              <w:rPr>
                <w:b/>
                <w:bCs/>
                <w:sz w:val="20"/>
                <w:lang w:val="es-GT" w:eastAsia="es-GT"/>
              </w:rPr>
            </w:pPr>
          </w:p>
        </w:tc>
        <w:tc>
          <w:tcPr>
            <w:tcW w:w="1073" w:type="dxa"/>
            <w:vMerge/>
            <w:tcBorders>
              <w:top w:val="single" w:sz="8" w:space="0" w:color="auto"/>
              <w:left w:val="nil"/>
              <w:bottom w:val="single" w:sz="4" w:space="0" w:color="000000"/>
              <w:right w:val="single" w:sz="8" w:space="0" w:color="auto"/>
            </w:tcBorders>
            <w:vAlign w:val="center"/>
            <w:hideMark/>
          </w:tcPr>
          <w:p w:rsidR="00011502" w:rsidRPr="002166DC" w:rsidRDefault="00011502" w:rsidP="00011502">
            <w:pPr>
              <w:rPr>
                <w:b/>
                <w:bCs/>
                <w:sz w:val="20"/>
                <w:lang w:val="es-GT" w:eastAsia="es-GT"/>
              </w:rPr>
            </w:pPr>
          </w:p>
        </w:tc>
      </w:tr>
      <w:tr w:rsidR="00011502" w:rsidRPr="002166DC" w:rsidTr="00011502">
        <w:trPr>
          <w:trHeight w:val="315"/>
        </w:trPr>
        <w:tc>
          <w:tcPr>
            <w:tcW w:w="3922" w:type="dxa"/>
            <w:tcBorders>
              <w:top w:val="nil"/>
              <w:left w:val="single" w:sz="8" w:space="0" w:color="auto"/>
              <w:bottom w:val="nil"/>
              <w:right w:val="single" w:sz="4" w:space="0" w:color="auto"/>
            </w:tcBorders>
            <w:shd w:val="clear" w:color="000000" w:fill="auto"/>
            <w:vAlign w:val="bottom"/>
            <w:hideMark/>
          </w:tcPr>
          <w:p w:rsidR="00011502" w:rsidRPr="002166DC" w:rsidRDefault="00011502" w:rsidP="00011502">
            <w:pPr>
              <w:jc w:val="center"/>
              <w:rPr>
                <w:b/>
                <w:bCs/>
                <w:sz w:val="20"/>
                <w:lang w:val="es-GT" w:eastAsia="es-GT"/>
              </w:rPr>
            </w:pPr>
            <w:r w:rsidRPr="002166DC">
              <w:rPr>
                <w:b/>
                <w:bCs/>
                <w:sz w:val="20"/>
                <w:lang w:val="es-GT" w:eastAsia="es-GT"/>
              </w:rPr>
              <w:t>Total</w:t>
            </w:r>
          </w:p>
        </w:tc>
        <w:tc>
          <w:tcPr>
            <w:tcW w:w="1007" w:type="dxa"/>
            <w:tcBorders>
              <w:top w:val="nil"/>
              <w:left w:val="nil"/>
              <w:bottom w:val="nil"/>
              <w:right w:val="single" w:sz="4" w:space="0" w:color="auto"/>
            </w:tcBorders>
            <w:shd w:val="clear" w:color="000000" w:fill="auto"/>
            <w:vAlign w:val="center"/>
            <w:hideMark/>
          </w:tcPr>
          <w:p w:rsidR="00011502" w:rsidRPr="002166DC" w:rsidRDefault="00011502" w:rsidP="00011502">
            <w:pPr>
              <w:jc w:val="center"/>
              <w:rPr>
                <w:b/>
                <w:bCs/>
                <w:sz w:val="20"/>
                <w:lang w:val="es-GT" w:eastAsia="es-GT"/>
              </w:rPr>
            </w:pPr>
            <w:r w:rsidRPr="002166DC">
              <w:rPr>
                <w:b/>
                <w:bCs/>
                <w:sz w:val="20"/>
                <w:lang w:val="es-GT" w:eastAsia="es-GT"/>
              </w:rPr>
              <w:t>1,368.2</w:t>
            </w:r>
          </w:p>
        </w:tc>
        <w:tc>
          <w:tcPr>
            <w:tcW w:w="1007" w:type="dxa"/>
            <w:tcBorders>
              <w:top w:val="nil"/>
              <w:left w:val="nil"/>
              <w:bottom w:val="nil"/>
              <w:right w:val="single" w:sz="4" w:space="0" w:color="auto"/>
            </w:tcBorders>
            <w:shd w:val="clear" w:color="000000" w:fill="auto"/>
            <w:vAlign w:val="center"/>
            <w:hideMark/>
          </w:tcPr>
          <w:p w:rsidR="00011502" w:rsidRPr="002166DC" w:rsidRDefault="00011502" w:rsidP="00011502">
            <w:pPr>
              <w:jc w:val="center"/>
              <w:rPr>
                <w:b/>
                <w:bCs/>
                <w:sz w:val="20"/>
                <w:lang w:val="es-GT" w:eastAsia="es-GT"/>
              </w:rPr>
            </w:pPr>
            <w:r w:rsidRPr="002166DC">
              <w:rPr>
                <w:b/>
                <w:bCs/>
                <w:sz w:val="20"/>
                <w:lang w:val="es-GT" w:eastAsia="es-GT"/>
              </w:rPr>
              <w:t>997.4</w:t>
            </w:r>
          </w:p>
        </w:tc>
        <w:tc>
          <w:tcPr>
            <w:tcW w:w="992" w:type="dxa"/>
            <w:tcBorders>
              <w:top w:val="nil"/>
              <w:left w:val="nil"/>
              <w:bottom w:val="nil"/>
              <w:right w:val="single" w:sz="4" w:space="0" w:color="auto"/>
            </w:tcBorders>
            <w:shd w:val="clear" w:color="000000" w:fill="auto"/>
            <w:vAlign w:val="center"/>
            <w:hideMark/>
          </w:tcPr>
          <w:p w:rsidR="00011502" w:rsidRPr="002166DC" w:rsidRDefault="00011502" w:rsidP="00011502">
            <w:pPr>
              <w:jc w:val="center"/>
              <w:rPr>
                <w:b/>
                <w:bCs/>
                <w:sz w:val="20"/>
                <w:lang w:val="es-GT" w:eastAsia="es-GT"/>
              </w:rPr>
            </w:pPr>
            <w:r w:rsidRPr="002166DC">
              <w:rPr>
                <w:b/>
                <w:bCs/>
                <w:sz w:val="20"/>
                <w:lang w:val="es-GT" w:eastAsia="es-GT"/>
              </w:rPr>
              <w:t>-370.8</w:t>
            </w:r>
          </w:p>
        </w:tc>
        <w:tc>
          <w:tcPr>
            <w:tcW w:w="1062"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b/>
                <w:bCs/>
                <w:sz w:val="20"/>
                <w:lang w:val="es-GT" w:eastAsia="es-GT"/>
              </w:rPr>
            </w:pPr>
            <w:r w:rsidRPr="002166DC">
              <w:rPr>
                <w:b/>
                <w:bCs/>
                <w:sz w:val="20"/>
                <w:lang w:val="es-GT" w:eastAsia="es-GT"/>
              </w:rPr>
              <w:t>72.9%</w:t>
            </w:r>
          </w:p>
        </w:tc>
        <w:tc>
          <w:tcPr>
            <w:tcW w:w="1073" w:type="dxa"/>
            <w:tcBorders>
              <w:top w:val="nil"/>
              <w:left w:val="nil"/>
              <w:bottom w:val="nil"/>
              <w:right w:val="single" w:sz="8" w:space="0" w:color="auto"/>
            </w:tcBorders>
            <w:shd w:val="clear" w:color="000000" w:fill="FFFFFF"/>
            <w:noWrap/>
            <w:vAlign w:val="center"/>
            <w:hideMark/>
          </w:tcPr>
          <w:p w:rsidR="00011502" w:rsidRPr="002F0F87" w:rsidRDefault="00011502" w:rsidP="00011502">
            <w:pPr>
              <w:jc w:val="center"/>
              <w:rPr>
                <w:b/>
                <w:color w:val="000000"/>
                <w:sz w:val="20"/>
                <w:lang w:val="es-GT" w:eastAsia="es-GT"/>
              </w:rPr>
            </w:pPr>
            <w:r w:rsidRPr="002F0F87">
              <w:rPr>
                <w:b/>
                <w:color w:val="000000"/>
                <w:sz w:val="20"/>
                <w:lang w:val="es-GT" w:eastAsia="es-GT"/>
              </w:rPr>
              <w:t>100.0%</w:t>
            </w:r>
          </w:p>
        </w:tc>
      </w:tr>
      <w:tr w:rsidR="00011502" w:rsidRPr="002166DC" w:rsidTr="00011502">
        <w:trPr>
          <w:trHeight w:val="315"/>
        </w:trPr>
        <w:tc>
          <w:tcPr>
            <w:tcW w:w="3922" w:type="dxa"/>
            <w:tcBorders>
              <w:top w:val="nil"/>
              <w:left w:val="single" w:sz="8" w:space="0" w:color="auto"/>
              <w:bottom w:val="nil"/>
              <w:right w:val="single" w:sz="4" w:space="0" w:color="auto"/>
            </w:tcBorders>
            <w:shd w:val="clear" w:color="000000" w:fill="FFFFFF"/>
            <w:vAlign w:val="bottom"/>
            <w:hideMark/>
          </w:tcPr>
          <w:p w:rsidR="00011502" w:rsidRPr="002166DC" w:rsidRDefault="00011502" w:rsidP="00011502">
            <w:pPr>
              <w:rPr>
                <w:sz w:val="20"/>
                <w:lang w:val="es-GT" w:eastAsia="es-GT"/>
              </w:rPr>
            </w:pPr>
            <w:r w:rsidRPr="002166DC">
              <w:rPr>
                <w:sz w:val="20"/>
                <w:lang w:val="es-GT" w:eastAsia="es-GT"/>
              </w:rPr>
              <w:t>Desarrollo Social</w:t>
            </w:r>
          </w:p>
        </w:tc>
        <w:tc>
          <w:tcPr>
            <w:tcW w:w="1007" w:type="dxa"/>
            <w:tcBorders>
              <w:top w:val="nil"/>
              <w:left w:val="nil"/>
              <w:bottom w:val="nil"/>
              <w:right w:val="single" w:sz="4" w:space="0" w:color="auto"/>
            </w:tcBorders>
            <w:shd w:val="clear" w:color="000000" w:fill="FFFFFF"/>
            <w:vAlign w:val="center"/>
            <w:hideMark/>
          </w:tcPr>
          <w:p w:rsidR="00011502" w:rsidRPr="002166DC" w:rsidRDefault="00011502" w:rsidP="00011502">
            <w:pPr>
              <w:jc w:val="center"/>
              <w:rPr>
                <w:sz w:val="20"/>
                <w:lang w:val="es-GT" w:eastAsia="es-GT"/>
              </w:rPr>
            </w:pPr>
            <w:r w:rsidRPr="002166DC">
              <w:rPr>
                <w:sz w:val="20"/>
                <w:lang w:val="es-GT" w:eastAsia="es-GT"/>
              </w:rPr>
              <w:t>460.0</w:t>
            </w:r>
          </w:p>
        </w:tc>
        <w:tc>
          <w:tcPr>
            <w:tcW w:w="1007" w:type="dxa"/>
            <w:tcBorders>
              <w:top w:val="nil"/>
              <w:left w:val="nil"/>
              <w:bottom w:val="nil"/>
              <w:right w:val="single" w:sz="4" w:space="0" w:color="auto"/>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306.2</w:t>
            </w:r>
          </w:p>
        </w:tc>
        <w:tc>
          <w:tcPr>
            <w:tcW w:w="992" w:type="dxa"/>
            <w:tcBorders>
              <w:top w:val="nil"/>
              <w:left w:val="nil"/>
              <w:bottom w:val="nil"/>
              <w:right w:val="single" w:sz="4"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-153.8</w:t>
            </w:r>
          </w:p>
        </w:tc>
        <w:tc>
          <w:tcPr>
            <w:tcW w:w="1062"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66.6%</w:t>
            </w:r>
          </w:p>
        </w:tc>
        <w:tc>
          <w:tcPr>
            <w:tcW w:w="1073"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30.7%</w:t>
            </w:r>
          </w:p>
        </w:tc>
      </w:tr>
      <w:tr w:rsidR="00011502" w:rsidRPr="002166DC" w:rsidTr="002F0F87">
        <w:trPr>
          <w:trHeight w:val="180"/>
        </w:trPr>
        <w:tc>
          <w:tcPr>
            <w:tcW w:w="3922" w:type="dxa"/>
            <w:tcBorders>
              <w:top w:val="nil"/>
              <w:left w:val="single" w:sz="8" w:space="0" w:color="auto"/>
              <w:bottom w:val="nil"/>
              <w:right w:val="single" w:sz="4" w:space="0" w:color="auto"/>
            </w:tcBorders>
            <w:shd w:val="clear" w:color="000000" w:fill="FFFFFF"/>
            <w:vAlign w:val="bottom"/>
            <w:hideMark/>
          </w:tcPr>
          <w:p w:rsidR="00011502" w:rsidRPr="002166DC" w:rsidRDefault="00011502" w:rsidP="00011502">
            <w:pPr>
              <w:rPr>
                <w:sz w:val="20"/>
                <w:lang w:val="es-GT" w:eastAsia="es-GT"/>
              </w:rPr>
            </w:pPr>
            <w:r w:rsidRPr="002166DC">
              <w:rPr>
                <w:sz w:val="20"/>
                <w:lang w:val="es-GT" w:eastAsia="es-GT"/>
              </w:rPr>
              <w:t>Inversión para la Vivienda</w:t>
            </w:r>
          </w:p>
        </w:tc>
        <w:tc>
          <w:tcPr>
            <w:tcW w:w="1007" w:type="dxa"/>
            <w:tcBorders>
              <w:top w:val="nil"/>
              <w:left w:val="nil"/>
              <w:bottom w:val="nil"/>
              <w:right w:val="single" w:sz="4" w:space="0" w:color="auto"/>
            </w:tcBorders>
            <w:shd w:val="clear" w:color="000000" w:fill="FFFFFF"/>
            <w:vAlign w:val="center"/>
            <w:hideMark/>
          </w:tcPr>
          <w:p w:rsidR="00011502" w:rsidRPr="002166DC" w:rsidRDefault="00011502" w:rsidP="00011502">
            <w:pPr>
              <w:jc w:val="center"/>
              <w:rPr>
                <w:sz w:val="20"/>
                <w:lang w:val="es-GT" w:eastAsia="es-GT"/>
              </w:rPr>
            </w:pPr>
            <w:r w:rsidRPr="002166DC">
              <w:rPr>
                <w:sz w:val="20"/>
                <w:lang w:val="es-GT" w:eastAsia="es-GT"/>
              </w:rPr>
              <w:t>367.8</w:t>
            </w:r>
          </w:p>
        </w:tc>
        <w:tc>
          <w:tcPr>
            <w:tcW w:w="1007" w:type="dxa"/>
            <w:tcBorders>
              <w:top w:val="nil"/>
              <w:left w:val="nil"/>
              <w:bottom w:val="nil"/>
              <w:right w:val="nil"/>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262.6</w:t>
            </w:r>
          </w:p>
        </w:tc>
        <w:tc>
          <w:tcPr>
            <w:tcW w:w="992" w:type="dxa"/>
            <w:tcBorders>
              <w:top w:val="nil"/>
              <w:left w:val="single" w:sz="4" w:space="0" w:color="auto"/>
              <w:bottom w:val="nil"/>
              <w:right w:val="single" w:sz="4"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-105.2</w:t>
            </w:r>
          </w:p>
        </w:tc>
        <w:tc>
          <w:tcPr>
            <w:tcW w:w="1062"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71.4%</w:t>
            </w:r>
          </w:p>
        </w:tc>
        <w:tc>
          <w:tcPr>
            <w:tcW w:w="1073"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26.3%</w:t>
            </w:r>
          </w:p>
        </w:tc>
      </w:tr>
      <w:tr w:rsidR="00011502" w:rsidRPr="002166DC" w:rsidTr="002F0F87">
        <w:trPr>
          <w:trHeight w:val="226"/>
        </w:trPr>
        <w:tc>
          <w:tcPr>
            <w:tcW w:w="3922" w:type="dxa"/>
            <w:tcBorders>
              <w:top w:val="nil"/>
              <w:left w:val="single" w:sz="8" w:space="0" w:color="auto"/>
              <w:bottom w:val="nil"/>
              <w:right w:val="single" w:sz="4" w:space="0" w:color="auto"/>
            </w:tcBorders>
            <w:shd w:val="clear" w:color="000000" w:fill="FFFFFF"/>
            <w:vAlign w:val="bottom"/>
            <w:hideMark/>
          </w:tcPr>
          <w:p w:rsidR="00011502" w:rsidRPr="002166DC" w:rsidRDefault="00011502" w:rsidP="00011502">
            <w:pPr>
              <w:rPr>
                <w:sz w:val="20"/>
                <w:lang w:val="es-GT" w:eastAsia="es-GT"/>
              </w:rPr>
            </w:pPr>
            <w:r w:rsidRPr="002166DC">
              <w:rPr>
                <w:sz w:val="20"/>
                <w:lang w:val="es-GT" w:eastAsia="es-GT"/>
              </w:rPr>
              <w:t>Fondo de Protección Social</w:t>
            </w:r>
          </w:p>
        </w:tc>
        <w:tc>
          <w:tcPr>
            <w:tcW w:w="1007" w:type="dxa"/>
            <w:tcBorders>
              <w:top w:val="nil"/>
              <w:left w:val="nil"/>
              <w:bottom w:val="nil"/>
              <w:right w:val="single" w:sz="4" w:space="0" w:color="auto"/>
            </w:tcBorders>
            <w:shd w:val="clear" w:color="000000" w:fill="FFFFFF"/>
            <w:vAlign w:val="center"/>
            <w:hideMark/>
          </w:tcPr>
          <w:p w:rsidR="00011502" w:rsidRPr="002166DC" w:rsidRDefault="00011502" w:rsidP="00011502">
            <w:pPr>
              <w:jc w:val="center"/>
              <w:rPr>
                <w:sz w:val="20"/>
                <w:lang w:val="es-GT" w:eastAsia="es-GT"/>
              </w:rPr>
            </w:pPr>
            <w:r w:rsidRPr="002166DC">
              <w:rPr>
                <w:sz w:val="20"/>
                <w:lang w:val="es-GT" w:eastAsia="es-GT"/>
              </w:rPr>
              <w:t>335.4</w:t>
            </w:r>
          </w:p>
        </w:tc>
        <w:tc>
          <w:tcPr>
            <w:tcW w:w="1007" w:type="dxa"/>
            <w:tcBorders>
              <w:top w:val="nil"/>
              <w:left w:val="nil"/>
              <w:bottom w:val="nil"/>
              <w:right w:val="nil"/>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232.7</w:t>
            </w:r>
          </w:p>
        </w:tc>
        <w:tc>
          <w:tcPr>
            <w:tcW w:w="992" w:type="dxa"/>
            <w:tcBorders>
              <w:top w:val="nil"/>
              <w:left w:val="single" w:sz="4" w:space="0" w:color="auto"/>
              <w:bottom w:val="nil"/>
              <w:right w:val="single" w:sz="4"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-102.7</w:t>
            </w:r>
          </w:p>
        </w:tc>
        <w:tc>
          <w:tcPr>
            <w:tcW w:w="1062"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69.4%</w:t>
            </w:r>
          </w:p>
        </w:tc>
        <w:tc>
          <w:tcPr>
            <w:tcW w:w="1073"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23.3%</w:t>
            </w:r>
          </w:p>
        </w:tc>
      </w:tr>
      <w:tr w:rsidR="00011502" w:rsidRPr="002166DC" w:rsidTr="002F0F87">
        <w:trPr>
          <w:trHeight w:val="144"/>
        </w:trPr>
        <w:tc>
          <w:tcPr>
            <w:tcW w:w="3922" w:type="dxa"/>
            <w:tcBorders>
              <w:top w:val="nil"/>
              <w:left w:val="single" w:sz="8" w:space="0" w:color="auto"/>
              <w:bottom w:val="nil"/>
              <w:right w:val="single" w:sz="4" w:space="0" w:color="auto"/>
            </w:tcBorders>
            <w:shd w:val="clear" w:color="000000" w:fill="FFFFFF"/>
            <w:vAlign w:val="bottom"/>
            <w:hideMark/>
          </w:tcPr>
          <w:p w:rsidR="00011502" w:rsidRPr="002166DC" w:rsidRDefault="00011502" w:rsidP="00011502">
            <w:pPr>
              <w:rPr>
                <w:sz w:val="20"/>
                <w:lang w:val="es-GT" w:eastAsia="es-GT"/>
              </w:rPr>
            </w:pPr>
            <w:r w:rsidRPr="002166DC">
              <w:rPr>
                <w:sz w:val="20"/>
                <w:lang w:val="es-GT" w:eastAsia="es-GT"/>
              </w:rPr>
              <w:t>Fondo Social de Solidaridad</w:t>
            </w:r>
          </w:p>
        </w:tc>
        <w:tc>
          <w:tcPr>
            <w:tcW w:w="1007" w:type="dxa"/>
            <w:tcBorders>
              <w:top w:val="nil"/>
              <w:left w:val="nil"/>
              <w:bottom w:val="nil"/>
              <w:right w:val="single" w:sz="4" w:space="0" w:color="auto"/>
            </w:tcBorders>
            <w:shd w:val="clear" w:color="000000" w:fill="FFFFFF"/>
            <w:vAlign w:val="center"/>
            <w:hideMark/>
          </w:tcPr>
          <w:p w:rsidR="00011502" w:rsidRPr="002166DC" w:rsidRDefault="00011502" w:rsidP="00011502">
            <w:pPr>
              <w:jc w:val="center"/>
              <w:rPr>
                <w:sz w:val="20"/>
                <w:lang w:val="es-GT" w:eastAsia="es-GT"/>
              </w:rPr>
            </w:pPr>
            <w:r w:rsidRPr="002166DC">
              <w:rPr>
                <w:sz w:val="20"/>
                <w:lang w:val="es-GT" w:eastAsia="es-GT"/>
              </w:rPr>
              <w:t>63.3</w:t>
            </w:r>
          </w:p>
        </w:tc>
        <w:tc>
          <w:tcPr>
            <w:tcW w:w="1007" w:type="dxa"/>
            <w:tcBorders>
              <w:top w:val="nil"/>
              <w:left w:val="nil"/>
              <w:bottom w:val="nil"/>
              <w:right w:val="nil"/>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85.3</w:t>
            </w:r>
          </w:p>
        </w:tc>
        <w:tc>
          <w:tcPr>
            <w:tcW w:w="992" w:type="dxa"/>
            <w:tcBorders>
              <w:top w:val="nil"/>
              <w:left w:val="single" w:sz="4" w:space="0" w:color="auto"/>
              <w:bottom w:val="nil"/>
              <w:right w:val="single" w:sz="4"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22.0</w:t>
            </w:r>
          </w:p>
        </w:tc>
        <w:tc>
          <w:tcPr>
            <w:tcW w:w="1062"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134.7%</w:t>
            </w:r>
          </w:p>
        </w:tc>
        <w:tc>
          <w:tcPr>
            <w:tcW w:w="1073"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8.6%</w:t>
            </w:r>
          </w:p>
        </w:tc>
      </w:tr>
      <w:tr w:rsidR="00011502" w:rsidRPr="002166DC" w:rsidTr="00652585">
        <w:trPr>
          <w:trHeight w:val="435"/>
        </w:trPr>
        <w:tc>
          <w:tcPr>
            <w:tcW w:w="3922" w:type="dxa"/>
            <w:tcBorders>
              <w:top w:val="nil"/>
              <w:left w:val="single" w:sz="8" w:space="0" w:color="auto"/>
              <w:bottom w:val="nil"/>
              <w:right w:val="single" w:sz="4" w:space="0" w:color="auto"/>
            </w:tcBorders>
            <w:shd w:val="clear" w:color="000000" w:fill="FFFFFF"/>
            <w:hideMark/>
          </w:tcPr>
          <w:p w:rsidR="00011502" w:rsidRPr="002166DC" w:rsidRDefault="00011502" w:rsidP="00011502">
            <w:pPr>
              <w:rPr>
                <w:sz w:val="20"/>
                <w:lang w:val="es-GT" w:eastAsia="es-GT"/>
              </w:rPr>
            </w:pPr>
            <w:r w:rsidRPr="002166DC">
              <w:rPr>
                <w:sz w:val="20"/>
                <w:lang w:val="es-GT" w:eastAsia="es-GT"/>
              </w:rPr>
              <w:t>Fondo Nacional para la Reactivación y Modernización de la Actividad Agropecuaria</w:t>
            </w:r>
          </w:p>
        </w:tc>
        <w:tc>
          <w:tcPr>
            <w:tcW w:w="1007" w:type="dxa"/>
            <w:tcBorders>
              <w:top w:val="nil"/>
              <w:left w:val="nil"/>
              <w:bottom w:val="nil"/>
              <w:right w:val="single" w:sz="4" w:space="0" w:color="auto"/>
            </w:tcBorders>
            <w:shd w:val="clear" w:color="000000" w:fill="FFFFFF"/>
            <w:vAlign w:val="center"/>
            <w:hideMark/>
          </w:tcPr>
          <w:p w:rsidR="00652585" w:rsidRDefault="00652585" w:rsidP="00011502">
            <w:pPr>
              <w:jc w:val="center"/>
              <w:rPr>
                <w:sz w:val="20"/>
                <w:lang w:val="es-GT" w:eastAsia="es-GT"/>
              </w:rPr>
            </w:pPr>
          </w:p>
          <w:p w:rsidR="00011502" w:rsidRPr="002166DC" w:rsidRDefault="00011502" w:rsidP="00011502">
            <w:pPr>
              <w:jc w:val="center"/>
              <w:rPr>
                <w:sz w:val="20"/>
                <w:lang w:val="es-GT" w:eastAsia="es-GT"/>
              </w:rPr>
            </w:pPr>
            <w:r w:rsidRPr="002166DC">
              <w:rPr>
                <w:sz w:val="20"/>
                <w:lang w:val="es-GT" w:eastAsia="es-GT"/>
              </w:rPr>
              <w:t>100.4</w:t>
            </w:r>
          </w:p>
        </w:tc>
        <w:tc>
          <w:tcPr>
            <w:tcW w:w="1007" w:type="dxa"/>
            <w:tcBorders>
              <w:top w:val="nil"/>
              <w:left w:val="nil"/>
              <w:bottom w:val="nil"/>
              <w:right w:val="nil"/>
            </w:tcBorders>
            <w:shd w:val="clear" w:color="000000" w:fill="FFFFFF"/>
            <w:noWrap/>
            <w:vAlign w:val="center"/>
            <w:hideMark/>
          </w:tcPr>
          <w:p w:rsidR="00652585" w:rsidRDefault="00652585" w:rsidP="00011502">
            <w:pPr>
              <w:jc w:val="center"/>
              <w:rPr>
                <w:color w:val="000000"/>
                <w:sz w:val="20"/>
                <w:lang w:val="es-GT" w:eastAsia="es-GT"/>
              </w:rPr>
            </w:pPr>
          </w:p>
          <w:p w:rsidR="00011502" w:rsidRPr="002166DC" w:rsidRDefault="00011502" w:rsidP="00011502">
            <w:pPr>
              <w:jc w:val="center"/>
              <w:rPr>
                <w:color w:val="000000"/>
                <w:sz w:val="20"/>
                <w:lang w:val="es-GT" w:eastAsia="es-GT"/>
              </w:rPr>
            </w:pPr>
            <w:r w:rsidRPr="002166DC">
              <w:rPr>
                <w:color w:val="000000"/>
                <w:sz w:val="20"/>
                <w:lang w:val="es-GT" w:eastAsia="es-GT"/>
              </w:rPr>
              <w:t>81.3</w:t>
            </w:r>
          </w:p>
        </w:tc>
        <w:tc>
          <w:tcPr>
            <w:tcW w:w="992" w:type="dxa"/>
            <w:tcBorders>
              <w:top w:val="nil"/>
              <w:left w:val="single" w:sz="4" w:space="0" w:color="auto"/>
              <w:bottom w:val="nil"/>
              <w:right w:val="single" w:sz="4" w:space="0" w:color="auto"/>
            </w:tcBorders>
            <w:shd w:val="clear" w:color="000000" w:fill="FFFFFF"/>
            <w:noWrap/>
            <w:vAlign w:val="center"/>
            <w:hideMark/>
          </w:tcPr>
          <w:p w:rsidR="00652585" w:rsidRDefault="00652585" w:rsidP="00011502">
            <w:pPr>
              <w:jc w:val="center"/>
              <w:rPr>
                <w:sz w:val="20"/>
                <w:lang w:val="es-GT" w:eastAsia="es-GT"/>
              </w:rPr>
            </w:pPr>
          </w:p>
          <w:p w:rsidR="00011502" w:rsidRPr="002166DC" w:rsidRDefault="00011502" w:rsidP="00011502">
            <w:pPr>
              <w:jc w:val="center"/>
              <w:rPr>
                <w:sz w:val="20"/>
                <w:lang w:val="es-GT" w:eastAsia="es-GT"/>
              </w:rPr>
            </w:pPr>
            <w:r w:rsidRPr="002166DC">
              <w:rPr>
                <w:sz w:val="20"/>
                <w:lang w:val="es-GT" w:eastAsia="es-GT"/>
              </w:rPr>
              <w:t>-19.1</w:t>
            </w:r>
          </w:p>
        </w:tc>
        <w:tc>
          <w:tcPr>
            <w:tcW w:w="1062" w:type="dxa"/>
            <w:tcBorders>
              <w:top w:val="nil"/>
              <w:left w:val="nil"/>
              <w:bottom w:val="nil"/>
              <w:right w:val="single" w:sz="8" w:space="0" w:color="auto"/>
            </w:tcBorders>
            <w:shd w:val="clear" w:color="000000" w:fill="FFFFFF"/>
            <w:noWrap/>
            <w:vAlign w:val="center"/>
            <w:hideMark/>
          </w:tcPr>
          <w:p w:rsidR="00652585" w:rsidRDefault="00652585" w:rsidP="00011502">
            <w:pPr>
              <w:jc w:val="center"/>
              <w:rPr>
                <w:sz w:val="20"/>
                <w:lang w:val="es-GT" w:eastAsia="es-GT"/>
              </w:rPr>
            </w:pPr>
          </w:p>
          <w:p w:rsidR="00011502" w:rsidRPr="002166DC" w:rsidRDefault="00011502" w:rsidP="00011502">
            <w:pPr>
              <w:jc w:val="center"/>
              <w:rPr>
                <w:sz w:val="20"/>
                <w:lang w:val="es-GT" w:eastAsia="es-GT"/>
              </w:rPr>
            </w:pPr>
            <w:r w:rsidRPr="002166DC">
              <w:rPr>
                <w:sz w:val="20"/>
                <w:lang w:val="es-GT" w:eastAsia="es-GT"/>
              </w:rPr>
              <w:t>81.0%</w:t>
            </w:r>
          </w:p>
        </w:tc>
        <w:tc>
          <w:tcPr>
            <w:tcW w:w="1073" w:type="dxa"/>
            <w:tcBorders>
              <w:top w:val="nil"/>
              <w:left w:val="nil"/>
              <w:bottom w:val="nil"/>
              <w:right w:val="single" w:sz="8" w:space="0" w:color="auto"/>
            </w:tcBorders>
            <w:shd w:val="clear" w:color="000000" w:fill="FFFFFF"/>
            <w:noWrap/>
            <w:vAlign w:val="center"/>
            <w:hideMark/>
          </w:tcPr>
          <w:p w:rsidR="00652585" w:rsidRDefault="00652585" w:rsidP="00011502">
            <w:pPr>
              <w:jc w:val="center"/>
              <w:rPr>
                <w:color w:val="000000"/>
                <w:sz w:val="20"/>
                <w:lang w:val="es-GT" w:eastAsia="es-GT"/>
              </w:rPr>
            </w:pPr>
          </w:p>
          <w:p w:rsidR="00011502" w:rsidRPr="002166DC" w:rsidRDefault="00011502" w:rsidP="00011502">
            <w:pPr>
              <w:jc w:val="center"/>
              <w:rPr>
                <w:color w:val="000000"/>
                <w:sz w:val="20"/>
                <w:lang w:val="es-GT" w:eastAsia="es-GT"/>
              </w:rPr>
            </w:pPr>
            <w:r w:rsidRPr="002166DC">
              <w:rPr>
                <w:color w:val="000000"/>
                <w:sz w:val="20"/>
                <w:lang w:val="es-GT" w:eastAsia="es-GT"/>
              </w:rPr>
              <w:t>8.2%</w:t>
            </w:r>
          </w:p>
        </w:tc>
      </w:tr>
      <w:tr w:rsidR="00011502" w:rsidRPr="002166DC" w:rsidTr="002F0F87">
        <w:trPr>
          <w:trHeight w:val="66"/>
        </w:trPr>
        <w:tc>
          <w:tcPr>
            <w:tcW w:w="3922" w:type="dxa"/>
            <w:tcBorders>
              <w:top w:val="nil"/>
              <w:left w:val="single" w:sz="8" w:space="0" w:color="auto"/>
              <w:bottom w:val="nil"/>
              <w:right w:val="single" w:sz="4" w:space="0" w:color="auto"/>
            </w:tcBorders>
            <w:shd w:val="clear" w:color="000000" w:fill="FFFFFF"/>
            <w:vAlign w:val="bottom"/>
            <w:hideMark/>
          </w:tcPr>
          <w:p w:rsidR="00011502" w:rsidRPr="002166DC" w:rsidRDefault="00011502" w:rsidP="00011502">
            <w:pPr>
              <w:rPr>
                <w:sz w:val="20"/>
                <w:lang w:val="es-GT" w:eastAsia="es-GT"/>
              </w:rPr>
            </w:pPr>
            <w:r w:rsidRPr="002166DC">
              <w:rPr>
                <w:sz w:val="20"/>
                <w:lang w:val="es-GT" w:eastAsia="es-GT"/>
              </w:rPr>
              <w:t>Fondo de Desarrollo Indígena Guatemalteco</w:t>
            </w:r>
          </w:p>
        </w:tc>
        <w:tc>
          <w:tcPr>
            <w:tcW w:w="1007" w:type="dxa"/>
            <w:tcBorders>
              <w:top w:val="nil"/>
              <w:left w:val="nil"/>
              <w:bottom w:val="nil"/>
              <w:right w:val="single" w:sz="4" w:space="0" w:color="auto"/>
            </w:tcBorders>
            <w:shd w:val="clear" w:color="000000" w:fill="FFFFFF"/>
            <w:vAlign w:val="center"/>
            <w:hideMark/>
          </w:tcPr>
          <w:p w:rsidR="00011502" w:rsidRPr="002166DC" w:rsidRDefault="00011502" w:rsidP="00011502">
            <w:pPr>
              <w:jc w:val="center"/>
              <w:rPr>
                <w:sz w:val="20"/>
                <w:lang w:val="es-GT" w:eastAsia="es-GT"/>
              </w:rPr>
            </w:pPr>
            <w:r w:rsidRPr="002166DC">
              <w:rPr>
                <w:sz w:val="20"/>
                <w:lang w:val="es-GT" w:eastAsia="es-GT"/>
              </w:rPr>
              <w:t>22.7</w:t>
            </w:r>
          </w:p>
        </w:tc>
        <w:tc>
          <w:tcPr>
            <w:tcW w:w="1007" w:type="dxa"/>
            <w:tcBorders>
              <w:top w:val="nil"/>
              <w:left w:val="nil"/>
              <w:bottom w:val="nil"/>
              <w:right w:val="nil"/>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12.3</w:t>
            </w:r>
          </w:p>
        </w:tc>
        <w:tc>
          <w:tcPr>
            <w:tcW w:w="992" w:type="dxa"/>
            <w:tcBorders>
              <w:top w:val="nil"/>
              <w:left w:val="single" w:sz="4" w:space="0" w:color="auto"/>
              <w:bottom w:val="nil"/>
              <w:right w:val="single" w:sz="4"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-10.4</w:t>
            </w:r>
          </w:p>
        </w:tc>
        <w:tc>
          <w:tcPr>
            <w:tcW w:w="1062"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54.2%</w:t>
            </w:r>
          </w:p>
        </w:tc>
        <w:tc>
          <w:tcPr>
            <w:tcW w:w="1073"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1.2%</w:t>
            </w:r>
          </w:p>
        </w:tc>
      </w:tr>
      <w:tr w:rsidR="00011502" w:rsidRPr="002166DC" w:rsidTr="002F0F87">
        <w:trPr>
          <w:trHeight w:val="245"/>
        </w:trPr>
        <w:tc>
          <w:tcPr>
            <w:tcW w:w="3922" w:type="dxa"/>
            <w:tcBorders>
              <w:top w:val="nil"/>
              <w:left w:val="single" w:sz="8" w:space="0" w:color="auto"/>
              <w:bottom w:val="nil"/>
              <w:right w:val="single" w:sz="4" w:space="0" w:color="auto"/>
            </w:tcBorders>
            <w:shd w:val="clear" w:color="000000" w:fill="FFFFFF"/>
            <w:vAlign w:val="bottom"/>
            <w:hideMark/>
          </w:tcPr>
          <w:p w:rsidR="00011502" w:rsidRPr="002166DC" w:rsidRDefault="00011502" w:rsidP="00011502">
            <w:pPr>
              <w:rPr>
                <w:sz w:val="20"/>
                <w:lang w:val="es-GT" w:eastAsia="es-GT"/>
              </w:rPr>
            </w:pPr>
            <w:r w:rsidRPr="002166DC">
              <w:rPr>
                <w:sz w:val="20"/>
                <w:lang w:val="es-GT" w:eastAsia="es-GT"/>
              </w:rPr>
              <w:t xml:space="preserve">Fondo Nacional de Ciencia y Tecnología  </w:t>
            </w:r>
          </w:p>
        </w:tc>
        <w:tc>
          <w:tcPr>
            <w:tcW w:w="1007" w:type="dxa"/>
            <w:tcBorders>
              <w:top w:val="nil"/>
              <w:left w:val="nil"/>
              <w:bottom w:val="nil"/>
              <w:right w:val="single" w:sz="4" w:space="0" w:color="auto"/>
            </w:tcBorders>
            <w:shd w:val="clear" w:color="000000" w:fill="FFFFFF"/>
            <w:vAlign w:val="center"/>
            <w:hideMark/>
          </w:tcPr>
          <w:p w:rsidR="00011502" w:rsidRPr="002166DC" w:rsidRDefault="00011502" w:rsidP="00011502">
            <w:pPr>
              <w:jc w:val="center"/>
              <w:rPr>
                <w:sz w:val="20"/>
                <w:lang w:val="es-GT" w:eastAsia="es-GT"/>
              </w:rPr>
            </w:pPr>
            <w:r w:rsidRPr="002166DC">
              <w:rPr>
                <w:sz w:val="20"/>
                <w:lang w:val="es-GT" w:eastAsia="es-GT"/>
              </w:rPr>
              <w:t>11.2</w:t>
            </w:r>
          </w:p>
        </w:tc>
        <w:tc>
          <w:tcPr>
            <w:tcW w:w="1007" w:type="dxa"/>
            <w:tcBorders>
              <w:top w:val="nil"/>
              <w:left w:val="nil"/>
              <w:bottom w:val="nil"/>
              <w:right w:val="nil"/>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6.2</w:t>
            </w:r>
          </w:p>
        </w:tc>
        <w:tc>
          <w:tcPr>
            <w:tcW w:w="992" w:type="dxa"/>
            <w:tcBorders>
              <w:top w:val="nil"/>
              <w:left w:val="single" w:sz="4" w:space="0" w:color="auto"/>
              <w:bottom w:val="nil"/>
              <w:right w:val="single" w:sz="4"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-5.0</w:t>
            </w:r>
          </w:p>
        </w:tc>
        <w:tc>
          <w:tcPr>
            <w:tcW w:w="1062"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55.0%</w:t>
            </w:r>
          </w:p>
        </w:tc>
        <w:tc>
          <w:tcPr>
            <w:tcW w:w="1073" w:type="dxa"/>
            <w:tcBorders>
              <w:top w:val="nil"/>
              <w:left w:val="nil"/>
              <w:bottom w:val="nil"/>
              <w:right w:val="single" w:sz="8" w:space="0" w:color="auto"/>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0.6%</w:t>
            </w:r>
          </w:p>
        </w:tc>
      </w:tr>
      <w:tr w:rsidR="00011502" w:rsidRPr="002166DC" w:rsidTr="00652585">
        <w:trPr>
          <w:trHeight w:val="394"/>
        </w:trPr>
        <w:tc>
          <w:tcPr>
            <w:tcW w:w="3922" w:type="dxa"/>
            <w:tcBorders>
              <w:top w:val="nil"/>
              <w:left w:val="single" w:sz="8" w:space="0" w:color="auto"/>
              <w:bottom w:val="nil"/>
              <w:right w:val="single" w:sz="4" w:space="0" w:color="auto"/>
            </w:tcBorders>
            <w:shd w:val="clear" w:color="000000" w:fill="FFFFFF"/>
            <w:hideMark/>
          </w:tcPr>
          <w:p w:rsidR="00011502" w:rsidRPr="002166DC" w:rsidRDefault="00011502" w:rsidP="00011502">
            <w:pPr>
              <w:rPr>
                <w:sz w:val="20"/>
                <w:lang w:val="es-GT" w:eastAsia="es-GT"/>
              </w:rPr>
            </w:pPr>
            <w:r w:rsidRPr="002166DC">
              <w:rPr>
                <w:sz w:val="20"/>
                <w:lang w:val="es-GT" w:eastAsia="es-GT"/>
              </w:rPr>
              <w:t xml:space="preserve">Fondo Nacional para la Conservación de la Naturaleza </w:t>
            </w:r>
          </w:p>
        </w:tc>
        <w:tc>
          <w:tcPr>
            <w:tcW w:w="1007" w:type="dxa"/>
            <w:tcBorders>
              <w:top w:val="nil"/>
              <w:left w:val="nil"/>
              <w:bottom w:val="nil"/>
              <w:right w:val="single" w:sz="4" w:space="0" w:color="auto"/>
            </w:tcBorders>
            <w:shd w:val="clear" w:color="000000" w:fill="FFFFFF"/>
            <w:vAlign w:val="center"/>
            <w:hideMark/>
          </w:tcPr>
          <w:p w:rsidR="00652585" w:rsidRDefault="00652585" w:rsidP="00011502">
            <w:pPr>
              <w:jc w:val="center"/>
              <w:rPr>
                <w:sz w:val="20"/>
                <w:lang w:val="es-GT" w:eastAsia="es-GT"/>
              </w:rPr>
            </w:pPr>
          </w:p>
          <w:p w:rsidR="00011502" w:rsidRPr="002166DC" w:rsidRDefault="00011502" w:rsidP="00011502">
            <w:pPr>
              <w:jc w:val="center"/>
              <w:rPr>
                <w:sz w:val="20"/>
                <w:lang w:val="es-GT" w:eastAsia="es-GT"/>
              </w:rPr>
            </w:pPr>
            <w:r w:rsidRPr="002166DC">
              <w:rPr>
                <w:sz w:val="20"/>
                <w:lang w:val="es-GT" w:eastAsia="es-GT"/>
              </w:rPr>
              <w:t>7.2</w:t>
            </w:r>
          </w:p>
        </w:tc>
        <w:tc>
          <w:tcPr>
            <w:tcW w:w="1007" w:type="dxa"/>
            <w:tcBorders>
              <w:top w:val="nil"/>
              <w:left w:val="nil"/>
              <w:bottom w:val="nil"/>
              <w:right w:val="nil"/>
            </w:tcBorders>
            <w:shd w:val="clear" w:color="000000" w:fill="FFFFFF"/>
            <w:vAlign w:val="center"/>
            <w:hideMark/>
          </w:tcPr>
          <w:p w:rsidR="00652585" w:rsidRDefault="00652585" w:rsidP="00011502">
            <w:pPr>
              <w:jc w:val="center"/>
              <w:rPr>
                <w:sz w:val="20"/>
                <w:lang w:val="es-GT" w:eastAsia="es-GT"/>
              </w:rPr>
            </w:pPr>
          </w:p>
          <w:p w:rsidR="00011502" w:rsidRPr="002166DC" w:rsidRDefault="00011502" w:rsidP="00011502">
            <w:pPr>
              <w:jc w:val="center"/>
              <w:rPr>
                <w:sz w:val="20"/>
                <w:lang w:val="es-GT" w:eastAsia="es-GT"/>
              </w:rPr>
            </w:pPr>
            <w:r w:rsidRPr="002166DC">
              <w:rPr>
                <w:sz w:val="20"/>
                <w:lang w:val="es-GT" w:eastAsia="es-GT"/>
              </w:rPr>
              <w:t>4.9</w:t>
            </w:r>
          </w:p>
        </w:tc>
        <w:tc>
          <w:tcPr>
            <w:tcW w:w="992" w:type="dxa"/>
            <w:tcBorders>
              <w:top w:val="nil"/>
              <w:left w:val="single" w:sz="4" w:space="0" w:color="auto"/>
              <w:bottom w:val="nil"/>
              <w:right w:val="single" w:sz="4" w:space="0" w:color="auto"/>
            </w:tcBorders>
            <w:shd w:val="clear" w:color="000000" w:fill="FFFFFF"/>
            <w:noWrap/>
            <w:vAlign w:val="center"/>
            <w:hideMark/>
          </w:tcPr>
          <w:p w:rsidR="00652585" w:rsidRDefault="00652585" w:rsidP="00011502">
            <w:pPr>
              <w:jc w:val="center"/>
              <w:rPr>
                <w:sz w:val="20"/>
                <w:lang w:val="es-GT" w:eastAsia="es-GT"/>
              </w:rPr>
            </w:pPr>
          </w:p>
          <w:p w:rsidR="00011502" w:rsidRPr="002166DC" w:rsidRDefault="00011502" w:rsidP="00011502">
            <w:pPr>
              <w:jc w:val="center"/>
              <w:rPr>
                <w:sz w:val="20"/>
                <w:lang w:val="es-GT" w:eastAsia="es-GT"/>
              </w:rPr>
            </w:pPr>
            <w:r w:rsidRPr="002166DC">
              <w:rPr>
                <w:sz w:val="20"/>
                <w:lang w:val="es-GT" w:eastAsia="es-GT"/>
              </w:rPr>
              <w:t>-2.3</w:t>
            </w:r>
          </w:p>
        </w:tc>
        <w:tc>
          <w:tcPr>
            <w:tcW w:w="1062" w:type="dxa"/>
            <w:tcBorders>
              <w:top w:val="nil"/>
              <w:left w:val="nil"/>
              <w:bottom w:val="nil"/>
              <w:right w:val="single" w:sz="8" w:space="0" w:color="auto"/>
            </w:tcBorders>
            <w:shd w:val="clear" w:color="000000" w:fill="FFFFFF"/>
            <w:noWrap/>
            <w:vAlign w:val="center"/>
            <w:hideMark/>
          </w:tcPr>
          <w:p w:rsidR="00652585" w:rsidRDefault="00652585" w:rsidP="00011502">
            <w:pPr>
              <w:jc w:val="center"/>
              <w:rPr>
                <w:sz w:val="20"/>
                <w:lang w:val="es-GT" w:eastAsia="es-GT"/>
              </w:rPr>
            </w:pPr>
          </w:p>
          <w:p w:rsidR="00011502" w:rsidRPr="002166DC" w:rsidRDefault="00011502" w:rsidP="00011502">
            <w:pPr>
              <w:jc w:val="center"/>
              <w:rPr>
                <w:sz w:val="20"/>
                <w:lang w:val="es-GT" w:eastAsia="es-GT"/>
              </w:rPr>
            </w:pPr>
            <w:r w:rsidRPr="002166DC">
              <w:rPr>
                <w:sz w:val="20"/>
                <w:lang w:val="es-GT" w:eastAsia="es-GT"/>
              </w:rPr>
              <w:t>68.1%</w:t>
            </w:r>
          </w:p>
        </w:tc>
        <w:tc>
          <w:tcPr>
            <w:tcW w:w="1073" w:type="dxa"/>
            <w:tcBorders>
              <w:top w:val="nil"/>
              <w:left w:val="nil"/>
              <w:bottom w:val="nil"/>
              <w:right w:val="single" w:sz="8" w:space="0" w:color="auto"/>
            </w:tcBorders>
            <w:shd w:val="clear" w:color="000000" w:fill="FFFFFF"/>
            <w:noWrap/>
            <w:vAlign w:val="center"/>
            <w:hideMark/>
          </w:tcPr>
          <w:p w:rsidR="00652585" w:rsidRDefault="00652585" w:rsidP="00011502">
            <w:pPr>
              <w:jc w:val="center"/>
              <w:rPr>
                <w:color w:val="000000"/>
                <w:sz w:val="20"/>
                <w:lang w:val="es-GT" w:eastAsia="es-GT"/>
              </w:rPr>
            </w:pPr>
          </w:p>
          <w:p w:rsidR="00011502" w:rsidRPr="002166DC" w:rsidRDefault="00011502" w:rsidP="00011502">
            <w:pPr>
              <w:jc w:val="center"/>
              <w:rPr>
                <w:color w:val="000000"/>
                <w:sz w:val="20"/>
                <w:lang w:val="es-GT" w:eastAsia="es-GT"/>
              </w:rPr>
            </w:pPr>
            <w:r w:rsidRPr="002166DC">
              <w:rPr>
                <w:color w:val="000000"/>
                <w:sz w:val="20"/>
                <w:lang w:val="es-GT" w:eastAsia="es-GT"/>
              </w:rPr>
              <w:t>0.5%</w:t>
            </w:r>
          </w:p>
        </w:tc>
      </w:tr>
      <w:tr w:rsidR="00011502" w:rsidRPr="002166DC" w:rsidTr="002F0F87">
        <w:trPr>
          <w:trHeight w:val="228"/>
        </w:trPr>
        <w:tc>
          <w:tcPr>
            <w:tcW w:w="3922" w:type="dxa"/>
            <w:tcBorders>
              <w:top w:val="nil"/>
              <w:left w:val="single" w:sz="8" w:space="0" w:color="auto"/>
              <w:bottom w:val="nil"/>
              <w:right w:val="single" w:sz="4" w:space="0" w:color="auto"/>
            </w:tcBorders>
            <w:shd w:val="clear" w:color="000000" w:fill="FFFFFF"/>
            <w:hideMark/>
          </w:tcPr>
          <w:p w:rsidR="00011502" w:rsidRPr="002166DC" w:rsidRDefault="00011502" w:rsidP="00011502">
            <w:pPr>
              <w:rPr>
                <w:sz w:val="20"/>
                <w:lang w:val="es-GT" w:eastAsia="es-GT"/>
              </w:rPr>
            </w:pPr>
            <w:r w:rsidRPr="002166DC">
              <w:rPr>
                <w:sz w:val="20"/>
                <w:lang w:val="es-GT" w:eastAsia="es-GT"/>
              </w:rPr>
              <w:t>Apoyo Financiero para los Productores del Sector Cafetalero</w:t>
            </w:r>
          </w:p>
        </w:tc>
        <w:tc>
          <w:tcPr>
            <w:tcW w:w="1007" w:type="dxa"/>
            <w:tcBorders>
              <w:top w:val="nil"/>
              <w:left w:val="nil"/>
              <w:bottom w:val="nil"/>
              <w:right w:val="single" w:sz="4" w:space="0" w:color="auto"/>
            </w:tcBorders>
            <w:shd w:val="clear" w:color="000000" w:fill="FFFFFF"/>
            <w:vAlign w:val="center"/>
            <w:hideMark/>
          </w:tcPr>
          <w:p w:rsidR="00652585" w:rsidRDefault="00652585" w:rsidP="00011502">
            <w:pPr>
              <w:jc w:val="center"/>
              <w:rPr>
                <w:sz w:val="20"/>
                <w:lang w:val="es-GT" w:eastAsia="es-GT"/>
              </w:rPr>
            </w:pPr>
          </w:p>
          <w:p w:rsidR="00011502" w:rsidRPr="002166DC" w:rsidRDefault="00011502" w:rsidP="00011502">
            <w:pPr>
              <w:jc w:val="center"/>
              <w:rPr>
                <w:sz w:val="20"/>
                <w:lang w:val="es-GT" w:eastAsia="es-GT"/>
              </w:rPr>
            </w:pPr>
            <w:r w:rsidRPr="002166DC">
              <w:rPr>
                <w:sz w:val="20"/>
                <w:lang w:val="es-GT" w:eastAsia="es-GT"/>
              </w:rPr>
              <w:t>0.0</w:t>
            </w:r>
          </w:p>
        </w:tc>
        <w:tc>
          <w:tcPr>
            <w:tcW w:w="1007" w:type="dxa"/>
            <w:tcBorders>
              <w:top w:val="nil"/>
              <w:left w:val="nil"/>
              <w:bottom w:val="nil"/>
              <w:right w:val="nil"/>
            </w:tcBorders>
            <w:shd w:val="clear" w:color="000000" w:fill="FFFFFF"/>
            <w:noWrap/>
            <w:vAlign w:val="center"/>
            <w:hideMark/>
          </w:tcPr>
          <w:p w:rsidR="00652585" w:rsidRDefault="00652585" w:rsidP="00011502">
            <w:pPr>
              <w:jc w:val="center"/>
              <w:rPr>
                <w:color w:val="000000"/>
                <w:sz w:val="20"/>
                <w:lang w:val="es-GT" w:eastAsia="es-GT"/>
              </w:rPr>
            </w:pPr>
          </w:p>
          <w:p w:rsidR="00011502" w:rsidRPr="002166DC" w:rsidRDefault="00011502" w:rsidP="00011502">
            <w:pPr>
              <w:jc w:val="center"/>
              <w:rPr>
                <w:color w:val="000000"/>
                <w:sz w:val="20"/>
                <w:lang w:val="es-GT" w:eastAsia="es-GT"/>
              </w:rPr>
            </w:pPr>
            <w:r w:rsidRPr="002166DC">
              <w:rPr>
                <w:color w:val="000000"/>
                <w:sz w:val="20"/>
                <w:lang w:val="es-GT" w:eastAsia="es-GT"/>
              </w:rPr>
              <w:t>4.5</w:t>
            </w:r>
          </w:p>
        </w:tc>
        <w:tc>
          <w:tcPr>
            <w:tcW w:w="992" w:type="dxa"/>
            <w:tcBorders>
              <w:top w:val="nil"/>
              <w:left w:val="single" w:sz="4" w:space="0" w:color="auto"/>
              <w:bottom w:val="nil"/>
              <w:right w:val="single" w:sz="4" w:space="0" w:color="auto"/>
            </w:tcBorders>
            <w:shd w:val="clear" w:color="000000" w:fill="FFFFFF"/>
            <w:noWrap/>
            <w:vAlign w:val="center"/>
            <w:hideMark/>
          </w:tcPr>
          <w:p w:rsidR="00652585" w:rsidRDefault="00652585" w:rsidP="00011502">
            <w:pPr>
              <w:jc w:val="center"/>
              <w:rPr>
                <w:sz w:val="20"/>
                <w:lang w:val="es-GT" w:eastAsia="es-GT"/>
              </w:rPr>
            </w:pPr>
          </w:p>
          <w:p w:rsidR="00011502" w:rsidRPr="002166DC" w:rsidRDefault="00011502" w:rsidP="00011502">
            <w:pPr>
              <w:jc w:val="center"/>
              <w:rPr>
                <w:sz w:val="20"/>
                <w:lang w:val="es-GT" w:eastAsia="es-GT"/>
              </w:rPr>
            </w:pPr>
            <w:r w:rsidRPr="002166DC">
              <w:rPr>
                <w:sz w:val="20"/>
                <w:lang w:val="es-GT" w:eastAsia="es-GT"/>
              </w:rPr>
              <w:t>4.5</w:t>
            </w:r>
          </w:p>
        </w:tc>
        <w:tc>
          <w:tcPr>
            <w:tcW w:w="1062" w:type="dxa"/>
            <w:tcBorders>
              <w:top w:val="nil"/>
              <w:left w:val="nil"/>
              <w:bottom w:val="nil"/>
              <w:right w:val="single" w:sz="8" w:space="0" w:color="auto"/>
            </w:tcBorders>
            <w:shd w:val="clear" w:color="000000" w:fill="FFFFFF"/>
            <w:noWrap/>
            <w:vAlign w:val="center"/>
            <w:hideMark/>
          </w:tcPr>
          <w:p w:rsidR="00652585" w:rsidRDefault="00652585" w:rsidP="00011502">
            <w:pPr>
              <w:jc w:val="center"/>
              <w:rPr>
                <w:sz w:val="20"/>
                <w:lang w:val="es-GT" w:eastAsia="es-GT"/>
              </w:rPr>
            </w:pPr>
          </w:p>
          <w:p w:rsidR="00011502" w:rsidRPr="002166DC" w:rsidRDefault="00011502" w:rsidP="00011502">
            <w:pPr>
              <w:jc w:val="center"/>
              <w:rPr>
                <w:sz w:val="20"/>
                <w:lang w:val="es-GT" w:eastAsia="es-GT"/>
              </w:rPr>
            </w:pPr>
            <w:r w:rsidRPr="002166DC">
              <w:rPr>
                <w:sz w:val="20"/>
                <w:lang w:val="es-GT" w:eastAsia="es-GT"/>
              </w:rPr>
              <w:t> </w:t>
            </w:r>
          </w:p>
        </w:tc>
        <w:tc>
          <w:tcPr>
            <w:tcW w:w="1073" w:type="dxa"/>
            <w:tcBorders>
              <w:top w:val="nil"/>
              <w:left w:val="nil"/>
              <w:bottom w:val="nil"/>
              <w:right w:val="single" w:sz="8" w:space="0" w:color="auto"/>
            </w:tcBorders>
            <w:shd w:val="clear" w:color="000000" w:fill="FFFFFF"/>
            <w:noWrap/>
            <w:vAlign w:val="center"/>
            <w:hideMark/>
          </w:tcPr>
          <w:p w:rsidR="00652585" w:rsidRDefault="00652585" w:rsidP="00011502">
            <w:pPr>
              <w:jc w:val="center"/>
              <w:rPr>
                <w:color w:val="000000"/>
                <w:sz w:val="20"/>
                <w:lang w:val="es-GT" w:eastAsia="es-GT"/>
              </w:rPr>
            </w:pPr>
          </w:p>
          <w:p w:rsidR="00011502" w:rsidRPr="002166DC" w:rsidRDefault="00011502" w:rsidP="00011502">
            <w:pPr>
              <w:jc w:val="center"/>
              <w:rPr>
                <w:color w:val="000000"/>
                <w:sz w:val="20"/>
                <w:lang w:val="es-GT" w:eastAsia="es-GT"/>
              </w:rPr>
            </w:pPr>
            <w:r w:rsidRPr="002166DC">
              <w:rPr>
                <w:color w:val="000000"/>
                <w:sz w:val="20"/>
                <w:lang w:val="es-GT" w:eastAsia="es-GT"/>
              </w:rPr>
              <w:t>0.4%</w:t>
            </w:r>
          </w:p>
        </w:tc>
      </w:tr>
      <w:tr w:rsidR="00011502" w:rsidRPr="002166DC" w:rsidTr="00011502">
        <w:trPr>
          <w:trHeight w:val="645"/>
        </w:trPr>
        <w:tc>
          <w:tcPr>
            <w:tcW w:w="3922" w:type="dxa"/>
            <w:tcBorders>
              <w:top w:val="nil"/>
              <w:left w:val="single" w:sz="8" w:space="0" w:color="auto"/>
              <w:bottom w:val="single" w:sz="8" w:space="0" w:color="auto"/>
              <w:right w:val="single" w:sz="4" w:space="0" w:color="auto"/>
            </w:tcBorders>
            <w:shd w:val="clear" w:color="000000" w:fill="FFFFFF"/>
            <w:hideMark/>
          </w:tcPr>
          <w:p w:rsidR="00011502" w:rsidRPr="002166DC" w:rsidRDefault="00011502" w:rsidP="00011502">
            <w:pPr>
              <w:rPr>
                <w:sz w:val="20"/>
                <w:lang w:val="es-GT" w:eastAsia="es-GT"/>
              </w:rPr>
            </w:pPr>
            <w:r w:rsidRPr="002166DC">
              <w:rPr>
                <w:sz w:val="20"/>
                <w:lang w:val="es-GT" w:eastAsia="es-GT"/>
              </w:rPr>
              <w:t>Fideicomiso Nacional de Becas y Crédito Educativo</w:t>
            </w:r>
          </w:p>
        </w:tc>
        <w:tc>
          <w:tcPr>
            <w:tcW w:w="1007" w:type="dxa"/>
            <w:tcBorders>
              <w:top w:val="nil"/>
              <w:left w:val="single" w:sz="4" w:space="0" w:color="auto"/>
              <w:bottom w:val="single" w:sz="8" w:space="0" w:color="auto"/>
              <w:right w:val="single" w:sz="4" w:space="0" w:color="auto"/>
            </w:tcBorders>
            <w:shd w:val="clear" w:color="000000" w:fill="FFFFFF"/>
            <w:vAlign w:val="center"/>
            <w:hideMark/>
          </w:tcPr>
          <w:p w:rsidR="00011502" w:rsidRPr="002166DC" w:rsidRDefault="00011502" w:rsidP="00011502">
            <w:pPr>
              <w:jc w:val="center"/>
              <w:rPr>
                <w:sz w:val="20"/>
                <w:lang w:val="es-GT" w:eastAsia="es-GT"/>
              </w:rPr>
            </w:pPr>
            <w:r w:rsidRPr="002166DC">
              <w:rPr>
                <w:sz w:val="20"/>
                <w:lang w:val="es-GT" w:eastAsia="es-GT"/>
              </w:rPr>
              <w:t>0.2</w:t>
            </w:r>
          </w:p>
        </w:tc>
        <w:tc>
          <w:tcPr>
            <w:tcW w:w="1007" w:type="dxa"/>
            <w:tcBorders>
              <w:top w:val="nil"/>
              <w:left w:val="nil"/>
              <w:bottom w:val="single" w:sz="8" w:space="0" w:color="auto"/>
              <w:right w:val="single" w:sz="4" w:space="0" w:color="auto"/>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1.5</w:t>
            </w:r>
          </w:p>
        </w:tc>
        <w:tc>
          <w:tcPr>
            <w:tcW w:w="992" w:type="dxa"/>
            <w:tcBorders>
              <w:top w:val="nil"/>
              <w:left w:val="nil"/>
              <w:bottom w:val="single" w:sz="8" w:space="0" w:color="auto"/>
              <w:right w:val="single" w:sz="4"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1.3</w:t>
            </w:r>
          </w:p>
        </w:tc>
        <w:tc>
          <w:tcPr>
            <w:tcW w:w="1062" w:type="dxa"/>
            <w:tcBorders>
              <w:top w:val="nil"/>
              <w:left w:val="nil"/>
              <w:bottom w:val="single" w:sz="8" w:space="0" w:color="auto"/>
              <w:right w:val="single" w:sz="8" w:space="0" w:color="auto"/>
            </w:tcBorders>
            <w:shd w:val="clear" w:color="000000" w:fill="FFFFFF"/>
            <w:noWrap/>
            <w:vAlign w:val="center"/>
            <w:hideMark/>
          </w:tcPr>
          <w:p w:rsidR="00011502" w:rsidRPr="002166DC" w:rsidRDefault="00011502" w:rsidP="00011502">
            <w:pPr>
              <w:jc w:val="center"/>
              <w:rPr>
                <w:sz w:val="20"/>
                <w:lang w:val="es-GT" w:eastAsia="es-GT"/>
              </w:rPr>
            </w:pPr>
            <w:r w:rsidRPr="002166DC">
              <w:rPr>
                <w:sz w:val="20"/>
                <w:lang w:val="es-GT" w:eastAsia="es-GT"/>
              </w:rPr>
              <w:t>692.2%</w:t>
            </w:r>
          </w:p>
        </w:tc>
        <w:tc>
          <w:tcPr>
            <w:tcW w:w="1073" w:type="dxa"/>
            <w:tcBorders>
              <w:top w:val="nil"/>
              <w:left w:val="nil"/>
              <w:bottom w:val="single" w:sz="8" w:space="0" w:color="auto"/>
              <w:right w:val="single" w:sz="8" w:space="0" w:color="auto"/>
            </w:tcBorders>
            <w:shd w:val="clear" w:color="000000" w:fill="FFFFFF"/>
            <w:noWrap/>
            <w:vAlign w:val="center"/>
            <w:hideMark/>
          </w:tcPr>
          <w:p w:rsidR="00011502" w:rsidRPr="002166DC" w:rsidRDefault="00011502" w:rsidP="00011502">
            <w:pPr>
              <w:jc w:val="center"/>
              <w:rPr>
                <w:color w:val="000000"/>
                <w:sz w:val="20"/>
                <w:lang w:val="es-GT" w:eastAsia="es-GT"/>
              </w:rPr>
            </w:pPr>
            <w:r w:rsidRPr="002166DC">
              <w:rPr>
                <w:color w:val="000000"/>
                <w:sz w:val="20"/>
                <w:lang w:val="es-GT" w:eastAsia="es-GT"/>
              </w:rPr>
              <w:t>0.2%</w:t>
            </w:r>
          </w:p>
        </w:tc>
      </w:tr>
    </w:tbl>
    <w:p w:rsidR="00011502" w:rsidRDefault="00011502" w:rsidP="00011502">
      <w:pPr>
        <w:rPr>
          <w:sz w:val="18"/>
        </w:rPr>
      </w:pPr>
      <w:r>
        <w:rPr>
          <w:sz w:val="18"/>
        </w:rPr>
        <w:t>* Cifras preliminares</w:t>
      </w:r>
    </w:p>
    <w:p w:rsidR="00011502" w:rsidRPr="00CE76C6" w:rsidRDefault="00011502" w:rsidP="00011502">
      <w:pPr>
        <w:rPr>
          <w:sz w:val="18"/>
        </w:rPr>
      </w:pPr>
      <w:r w:rsidRPr="00CE76C6">
        <w:rPr>
          <w:sz w:val="18"/>
        </w:rPr>
        <w:t>Fuente: Ministerio de Finanzas Públicas</w:t>
      </w:r>
      <w:r>
        <w:rPr>
          <w:sz w:val="18"/>
        </w:rPr>
        <w:t>.</w:t>
      </w:r>
    </w:p>
    <w:p w:rsidR="00011502" w:rsidRDefault="00011502" w:rsidP="00011502"/>
    <w:p w:rsidR="00011502" w:rsidRDefault="00011502" w:rsidP="00011502"/>
    <w:p w:rsidR="00011502" w:rsidRPr="00652585" w:rsidRDefault="00011502" w:rsidP="00011502">
      <w:pPr>
        <w:rPr>
          <w:sz w:val="14"/>
        </w:rPr>
      </w:pPr>
    </w:p>
    <w:p w:rsidR="00011502" w:rsidRPr="00124AD6" w:rsidRDefault="00011502" w:rsidP="00011502">
      <w:pPr>
        <w:pStyle w:val="Ttulo3"/>
        <w:numPr>
          <w:ilvl w:val="0"/>
          <w:numId w:val="2"/>
        </w:numPr>
        <w:spacing w:before="0"/>
        <w:ind w:left="426"/>
        <w:jc w:val="both"/>
        <w:rPr>
          <w:rFonts w:ascii="Times New Roman" w:hAnsi="Times New Roman"/>
          <w:color w:val="auto"/>
          <w:lang w:val="es-MX"/>
        </w:rPr>
      </w:pPr>
      <w:bookmarkStart w:id="17" w:name="_Toc32829794"/>
      <w:r w:rsidRPr="00124AD6">
        <w:rPr>
          <w:rFonts w:ascii="Times New Roman" w:hAnsi="Times New Roman"/>
          <w:color w:val="auto"/>
        </w:rPr>
        <w:t xml:space="preserve">Gasto </w:t>
      </w:r>
      <w:r>
        <w:rPr>
          <w:rFonts w:ascii="Times New Roman" w:hAnsi="Times New Roman"/>
          <w:color w:val="auto"/>
        </w:rPr>
        <w:t>P</w:t>
      </w:r>
      <w:r w:rsidRPr="00124AD6">
        <w:rPr>
          <w:rFonts w:ascii="Times New Roman" w:hAnsi="Times New Roman"/>
          <w:color w:val="auto"/>
        </w:rPr>
        <w:t xml:space="preserve">úblico </w:t>
      </w:r>
      <w:r>
        <w:rPr>
          <w:rFonts w:ascii="Times New Roman" w:hAnsi="Times New Roman"/>
          <w:color w:val="auto"/>
        </w:rPr>
        <w:t>E</w:t>
      </w:r>
      <w:r w:rsidRPr="00124AD6">
        <w:rPr>
          <w:rFonts w:ascii="Times New Roman" w:hAnsi="Times New Roman"/>
          <w:color w:val="auto"/>
        </w:rPr>
        <w:t>jecutado a través de ONG</w:t>
      </w:r>
      <w:bookmarkEnd w:id="17"/>
    </w:p>
    <w:p w:rsidR="00011502" w:rsidRPr="00124AD6" w:rsidRDefault="00011502" w:rsidP="00011502">
      <w:pPr>
        <w:rPr>
          <w:lang w:val="es-MX" w:eastAsia="x-none"/>
        </w:rPr>
      </w:pPr>
    </w:p>
    <w:p w:rsidR="00011502" w:rsidRDefault="00011502" w:rsidP="00011502">
      <w:pPr>
        <w:jc w:val="both"/>
      </w:pPr>
      <w:r w:rsidRPr="00124AD6">
        <w:t>El total de fondos ejecutados por medio de Organizaciones no Gubernamentales al 31 de diciembre de 201</w:t>
      </w:r>
      <w:r>
        <w:t>9</w:t>
      </w:r>
      <w:r w:rsidRPr="00124AD6">
        <w:t xml:space="preserve"> ascendió a </w:t>
      </w:r>
      <w:r>
        <w:t>Q</w:t>
      </w:r>
      <w:r w:rsidR="00CC3DCE">
        <w:t>.</w:t>
      </w:r>
      <w:r w:rsidR="00B627D3">
        <w:t>1,097.2</w:t>
      </w:r>
      <w:r w:rsidRPr="00124AD6">
        <w:t xml:space="preserve"> millones,</w:t>
      </w:r>
      <w:r>
        <w:t xml:space="preserve"> monto que superó lo estimado en el presupuesto por Q</w:t>
      </w:r>
      <w:r w:rsidR="00CC3DCE">
        <w:t>.</w:t>
      </w:r>
      <w:r w:rsidR="00B627D3">
        <w:t>180.0</w:t>
      </w:r>
      <w:r>
        <w:t xml:space="preserve"> millones, el cual fue de Q</w:t>
      </w:r>
      <w:r w:rsidR="00CC3DCE">
        <w:t>.</w:t>
      </w:r>
      <w:r w:rsidR="00B627D3">
        <w:t>917</w:t>
      </w:r>
      <w:r w:rsidR="002F6E1E">
        <w:t>.1</w:t>
      </w:r>
      <w:r>
        <w:t xml:space="preserve"> millones</w:t>
      </w:r>
      <w:r w:rsidRPr="00124AD6">
        <w:t xml:space="preserve"> bajo la modalidad de aportes o transferencias directas.</w:t>
      </w:r>
      <w:r>
        <w:t xml:space="preserve"> La entidad con mayor ejecución del total bajo </w:t>
      </w:r>
      <w:r w:rsidR="00CC3DCE">
        <w:t>e</w:t>
      </w:r>
      <w:r>
        <w:t>sta modalidad fue</w:t>
      </w:r>
      <w:r w:rsidRPr="00124AD6">
        <w:t xml:space="preserve"> el Ministerio de Salud Pública</w:t>
      </w:r>
      <w:r>
        <w:t xml:space="preserve"> y Asistencia Social con un monto de Q</w:t>
      </w:r>
      <w:r w:rsidR="00CC3DCE">
        <w:t>.</w:t>
      </w:r>
      <w:r>
        <w:t>5</w:t>
      </w:r>
      <w:r w:rsidR="00B627D3">
        <w:t>65.4</w:t>
      </w:r>
      <w:r w:rsidR="00CC3DCE">
        <w:t xml:space="preserve"> millones</w:t>
      </w:r>
      <w:r w:rsidRPr="00124AD6">
        <w:t>,</w:t>
      </w:r>
      <w:r>
        <w:t xml:space="preserve"> equivalentes al </w:t>
      </w:r>
      <w:r w:rsidR="002F6E1E">
        <w:t>5</w:t>
      </w:r>
      <w:r w:rsidR="00B627D3">
        <w:t>1.5</w:t>
      </w:r>
      <w:r>
        <w:t>% del monto total ejecutado bajo la modalidad de Aportes a ONG, seguido de</w:t>
      </w:r>
      <w:r w:rsidR="002F6E1E">
        <w:t xml:space="preserve">l Ministerio de Educación </w:t>
      </w:r>
      <w:r>
        <w:t>con un monto de Q</w:t>
      </w:r>
      <w:r w:rsidR="00CC3DCE">
        <w:t>.</w:t>
      </w:r>
      <w:r w:rsidR="002F6E1E">
        <w:t>327.3</w:t>
      </w:r>
      <w:r>
        <w:t xml:space="preserve"> millones, equivalentes al </w:t>
      </w:r>
      <w:r w:rsidR="00B627D3">
        <w:t>29.8</w:t>
      </w:r>
      <w:r w:rsidRPr="00124AD6">
        <w:t>%</w:t>
      </w:r>
      <w:r>
        <w:t xml:space="preserve"> del total</w:t>
      </w:r>
      <w:r w:rsidR="002F6E1E">
        <w:t>. Seguidamente, en las Obligaciones del Estado a Cargo del Tesoro se ejecutaron Q.</w:t>
      </w:r>
      <w:r w:rsidR="00B627D3">
        <w:t>105.8</w:t>
      </w:r>
      <w:r w:rsidR="002F6E1E">
        <w:t xml:space="preserve"> millones que equivalen al </w:t>
      </w:r>
      <w:r w:rsidR="00B627D3">
        <w:t>9.6</w:t>
      </w:r>
      <w:r w:rsidR="002F6E1E">
        <w:t>% del total y el Ministerio de Agricultura, Ganadería y Alimentación ejecutó Q.</w:t>
      </w:r>
      <w:r w:rsidR="00B627D3">
        <w:t>80.6</w:t>
      </w:r>
      <w:r w:rsidR="002F6E1E">
        <w:t xml:space="preserve"> millones que representan el </w:t>
      </w:r>
      <w:r w:rsidR="00B627D3">
        <w:t>7</w:t>
      </w:r>
      <w:r w:rsidR="002F6E1E">
        <w:t>.3% del total ejecutado. F</w:t>
      </w:r>
      <w:r>
        <w:t>inalmente</w:t>
      </w:r>
      <w:r w:rsidR="002F6E1E">
        <w:t>, el resto de instituciones ejecutaron en conjunto Q.18.0 millones que equivalen al 1.</w:t>
      </w:r>
      <w:r w:rsidR="00B627D3">
        <w:t>6</w:t>
      </w:r>
      <w:r w:rsidR="002F6E1E">
        <w:t>% del total ejecutado bajo esta modalidad de aportes a Organizaciones No Gubernamentales, tanto del sector privado, como del externo.</w:t>
      </w:r>
    </w:p>
    <w:p w:rsidR="002F6E1E" w:rsidRDefault="002F6E1E" w:rsidP="00011502">
      <w:pPr>
        <w:jc w:val="both"/>
      </w:pPr>
    </w:p>
    <w:p w:rsidR="004B308C" w:rsidRDefault="004B308C" w:rsidP="00011502">
      <w:pPr>
        <w:jc w:val="both"/>
      </w:pPr>
    </w:p>
    <w:p w:rsidR="004B308C" w:rsidRDefault="004B308C" w:rsidP="00011502">
      <w:pPr>
        <w:jc w:val="both"/>
      </w:pPr>
    </w:p>
    <w:p w:rsidR="004B308C" w:rsidRDefault="004B308C" w:rsidP="00011502">
      <w:pPr>
        <w:jc w:val="both"/>
      </w:pPr>
    </w:p>
    <w:p w:rsidR="002F6E1E" w:rsidRDefault="002F6E1E" w:rsidP="00011502">
      <w:pPr>
        <w:jc w:val="both"/>
      </w:pPr>
    </w:p>
    <w:p w:rsidR="002F6E1E" w:rsidRDefault="002F6E1E" w:rsidP="00011502">
      <w:pPr>
        <w:jc w:val="both"/>
      </w:pPr>
    </w:p>
    <w:p w:rsidR="00011502" w:rsidRPr="00124AD6" w:rsidRDefault="00011502" w:rsidP="00011502">
      <w:pPr>
        <w:jc w:val="center"/>
        <w:rPr>
          <w:b/>
        </w:rPr>
      </w:pPr>
      <w:r w:rsidRPr="00124AD6">
        <w:rPr>
          <w:b/>
        </w:rPr>
        <w:t xml:space="preserve">Cuadro </w:t>
      </w:r>
      <w:r>
        <w:rPr>
          <w:b/>
        </w:rPr>
        <w:t>7</w:t>
      </w:r>
    </w:p>
    <w:p w:rsidR="00011502" w:rsidRPr="00124AD6" w:rsidRDefault="00011502" w:rsidP="00011502">
      <w:pPr>
        <w:jc w:val="center"/>
        <w:rPr>
          <w:b/>
        </w:rPr>
      </w:pPr>
      <w:r w:rsidRPr="00124AD6">
        <w:rPr>
          <w:b/>
        </w:rPr>
        <w:t>Gasto Público Ejecutado a través de Aportes y Convenios</w:t>
      </w:r>
      <w:r>
        <w:rPr>
          <w:b/>
        </w:rPr>
        <w:t xml:space="preserve"> con ONG</w:t>
      </w:r>
    </w:p>
    <w:p w:rsidR="00011502" w:rsidRPr="00124AD6" w:rsidRDefault="00011502" w:rsidP="00011502">
      <w:pPr>
        <w:jc w:val="center"/>
        <w:rPr>
          <w:b/>
        </w:rPr>
      </w:pPr>
      <w:r w:rsidRPr="00124AD6">
        <w:rPr>
          <w:b/>
        </w:rPr>
        <w:t>Al 31 de diciembre de 201</w:t>
      </w:r>
      <w:r w:rsidR="00CC3DCE">
        <w:rPr>
          <w:b/>
        </w:rPr>
        <w:t>9</w:t>
      </w:r>
      <w:r w:rsidRPr="00124AD6">
        <w:rPr>
          <w:b/>
        </w:rPr>
        <w:t>*</w:t>
      </w:r>
    </w:p>
    <w:p w:rsidR="00011502" w:rsidRDefault="00011502" w:rsidP="00011502">
      <w:pPr>
        <w:jc w:val="center"/>
        <w:rPr>
          <w:b/>
          <w:bCs/>
          <w:lang w:val="es-GT" w:eastAsia="es-GT"/>
        </w:rPr>
      </w:pPr>
      <w:r>
        <w:rPr>
          <w:b/>
          <w:bCs/>
          <w:lang w:val="es-GT" w:eastAsia="es-GT"/>
        </w:rPr>
        <w:t>(Millones de Quetzales)</w:t>
      </w:r>
    </w:p>
    <w:tbl>
      <w:tblPr>
        <w:tblW w:w="9522" w:type="dxa"/>
        <w:tblInd w:w="55" w:type="dxa"/>
        <w:tblCellMar>
          <w:left w:w="70" w:type="dxa"/>
          <w:right w:w="70" w:type="dxa"/>
        </w:tblCellMar>
        <w:tblLook w:val="04A0" w:firstRow="1" w:lastRow="0" w:firstColumn="1" w:lastColumn="0" w:noHBand="0" w:noVBand="1"/>
      </w:tblPr>
      <w:tblGrid>
        <w:gridCol w:w="3984"/>
        <w:gridCol w:w="1134"/>
        <w:gridCol w:w="1185"/>
        <w:gridCol w:w="1083"/>
        <w:gridCol w:w="1062"/>
        <w:gridCol w:w="1074"/>
      </w:tblGrid>
      <w:tr w:rsidR="00B627D3" w:rsidRPr="00B627D3" w:rsidTr="00B627D3">
        <w:trPr>
          <w:trHeight w:val="465"/>
        </w:trPr>
        <w:tc>
          <w:tcPr>
            <w:tcW w:w="3984" w:type="dxa"/>
            <w:vMerge w:val="restart"/>
            <w:tcBorders>
              <w:top w:val="single" w:sz="8" w:space="0" w:color="auto"/>
              <w:left w:val="single" w:sz="8" w:space="0" w:color="auto"/>
              <w:bottom w:val="single" w:sz="4" w:space="0" w:color="000000"/>
              <w:right w:val="nil"/>
            </w:tcBorders>
            <w:shd w:val="clear" w:color="000000" w:fill="8DB4E2"/>
            <w:vAlign w:val="center"/>
            <w:hideMark/>
          </w:tcPr>
          <w:p w:rsidR="00B627D3" w:rsidRPr="00B627D3" w:rsidRDefault="00B627D3" w:rsidP="00B627D3">
            <w:pPr>
              <w:jc w:val="center"/>
              <w:rPr>
                <w:b/>
                <w:bCs/>
                <w:sz w:val="20"/>
                <w:szCs w:val="20"/>
                <w:lang w:val="es-GT" w:eastAsia="es-GT"/>
              </w:rPr>
            </w:pPr>
            <w:r w:rsidRPr="00B627D3">
              <w:rPr>
                <w:b/>
                <w:bCs/>
                <w:sz w:val="20"/>
                <w:szCs w:val="20"/>
                <w:lang w:val="es-GT" w:eastAsia="es-GT"/>
              </w:rPr>
              <w:t>Entidad</w:t>
            </w:r>
          </w:p>
        </w:tc>
        <w:tc>
          <w:tcPr>
            <w:tcW w:w="2319" w:type="dxa"/>
            <w:gridSpan w:val="2"/>
            <w:tcBorders>
              <w:top w:val="single" w:sz="8" w:space="0" w:color="auto"/>
              <w:left w:val="single" w:sz="4" w:space="0" w:color="auto"/>
              <w:bottom w:val="single" w:sz="4" w:space="0" w:color="auto"/>
              <w:right w:val="single" w:sz="4" w:space="0" w:color="000000"/>
            </w:tcBorders>
            <w:shd w:val="clear" w:color="000000" w:fill="8DB4E2"/>
            <w:vAlign w:val="center"/>
            <w:hideMark/>
          </w:tcPr>
          <w:p w:rsidR="00B627D3" w:rsidRPr="00B627D3" w:rsidRDefault="00B627D3" w:rsidP="00B627D3">
            <w:pPr>
              <w:jc w:val="center"/>
              <w:rPr>
                <w:b/>
                <w:bCs/>
                <w:sz w:val="20"/>
                <w:szCs w:val="20"/>
                <w:lang w:val="es-GT" w:eastAsia="es-GT"/>
              </w:rPr>
            </w:pPr>
            <w:r w:rsidRPr="00B627D3">
              <w:rPr>
                <w:b/>
                <w:bCs/>
                <w:sz w:val="20"/>
                <w:szCs w:val="20"/>
                <w:lang w:val="es-GT" w:eastAsia="es-GT"/>
              </w:rPr>
              <w:t>Presupuesto</w:t>
            </w:r>
          </w:p>
        </w:tc>
        <w:tc>
          <w:tcPr>
            <w:tcW w:w="1083"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B627D3" w:rsidRPr="00B627D3" w:rsidRDefault="00B627D3" w:rsidP="00B627D3">
            <w:pPr>
              <w:jc w:val="center"/>
              <w:rPr>
                <w:b/>
                <w:bCs/>
                <w:sz w:val="20"/>
                <w:szCs w:val="20"/>
                <w:lang w:val="es-GT" w:eastAsia="es-GT"/>
              </w:rPr>
            </w:pPr>
            <w:r w:rsidRPr="00B627D3">
              <w:rPr>
                <w:b/>
                <w:bCs/>
                <w:sz w:val="20"/>
                <w:szCs w:val="20"/>
                <w:lang w:val="es-GT" w:eastAsia="es-GT"/>
              </w:rPr>
              <w:t>Diferencia Absoluta</w:t>
            </w:r>
          </w:p>
        </w:tc>
        <w:tc>
          <w:tcPr>
            <w:tcW w:w="1062"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B627D3" w:rsidRPr="00B627D3" w:rsidRDefault="00B627D3" w:rsidP="00B627D3">
            <w:pPr>
              <w:jc w:val="center"/>
              <w:rPr>
                <w:b/>
                <w:bCs/>
                <w:sz w:val="20"/>
                <w:szCs w:val="20"/>
                <w:lang w:val="es-GT" w:eastAsia="es-GT"/>
              </w:rPr>
            </w:pPr>
            <w:r w:rsidRPr="00B627D3">
              <w:rPr>
                <w:b/>
                <w:bCs/>
                <w:sz w:val="20"/>
                <w:szCs w:val="20"/>
                <w:lang w:val="es-GT" w:eastAsia="es-GT"/>
              </w:rPr>
              <w:t>Porcentaje de Ejecución</w:t>
            </w:r>
          </w:p>
        </w:tc>
        <w:tc>
          <w:tcPr>
            <w:tcW w:w="1074" w:type="dxa"/>
            <w:vMerge w:val="restart"/>
            <w:tcBorders>
              <w:top w:val="single" w:sz="8" w:space="0" w:color="auto"/>
              <w:left w:val="nil"/>
              <w:bottom w:val="single" w:sz="4" w:space="0" w:color="000000"/>
              <w:right w:val="single" w:sz="8" w:space="0" w:color="auto"/>
            </w:tcBorders>
            <w:shd w:val="clear" w:color="000000" w:fill="8DB4E2"/>
            <w:vAlign w:val="center"/>
            <w:hideMark/>
          </w:tcPr>
          <w:p w:rsidR="00B627D3" w:rsidRPr="00B627D3" w:rsidRDefault="00B627D3" w:rsidP="00B627D3">
            <w:pPr>
              <w:jc w:val="center"/>
              <w:rPr>
                <w:b/>
                <w:bCs/>
                <w:sz w:val="20"/>
                <w:szCs w:val="20"/>
                <w:lang w:val="es-GT" w:eastAsia="es-GT"/>
              </w:rPr>
            </w:pPr>
            <w:r w:rsidRPr="00B627D3">
              <w:rPr>
                <w:b/>
                <w:bCs/>
                <w:sz w:val="20"/>
                <w:szCs w:val="20"/>
                <w:lang w:val="es-GT" w:eastAsia="es-GT"/>
              </w:rPr>
              <w:t>Estructura de la Ejecución</w:t>
            </w:r>
          </w:p>
        </w:tc>
      </w:tr>
      <w:tr w:rsidR="00B627D3" w:rsidRPr="00B627D3" w:rsidTr="00B627D3">
        <w:trPr>
          <w:trHeight w:val="690"/>
        </w:trPr>
        <w:tc>
          <w:tcPr>
            <w:tcW w:w="3984" w:type="dxa"/>
            <w:vMerge/>
            <w:tcBorders>
              <w:top w:val="single" w:sz="8" w:space="0" w:color="auto"/>
              <w:left w:val="single" w:sz="8" w:space="0" w:color="auto"/>
              <w:bottom w:val="single" w:sz="4" w:space="0" w:color="000000"/>
              <w:right w:val="nil"/>
            </w:tcBorders>
            <w:vAlign w:val="center"/>
            <w:hideMark/>
          </w:tcPr>
          <w:p w:rsidR="00B627D3" w:rsidRPr="00B627D3" w:rsidRDefault="00B627D3" w:rsidP="00B627D3">
            <w:pPr>
              <w:rPr>
                <w:b/>
                <w:bCs/>
                <w:sz w:val="20"/>
                <w:szCs w:val="20"/>
                <w:lang w:val="es-GT" w:eastAsia="es-GT"/>
              </w:rPr>
            </w:pPr>
          </w:p>
        </w:tc>
        <w:tc>
          <w:tcPr>
            <w:tcW w:w="1134" w:type="dxa"/>
            <w:tcBorders>
              <w:top w:val="nil"/>
              <w:left w:val="single" w:sz="4" w:space="0" w:color="auto"/>
              <w:bottom w:val="single" w:sz="4" w:space="0" w:color="auto"/>
              <w:right w:val="single" w:sz="4" w:space="0" w:color="auto"/>
            </w:tcBorders>
            <w:shd w:val="clear" w:color="000000" w:fill="8DB4E2"/>
            <w:vAlign w:val="center"/>
            <w:hideMark/>
          </w:tcPr>
          <w:p w:rsidR="00B627D3" w:rsidRPr="00B627D3" w:rsidRDefault="00B627D3" w:rsidP="00B627D3">
            <w:pPr>
              <w:jc w:val="center"/>
              <w:rPr>
                <w:b/>
                <w:bCs/>
                <w:sz w:val="20"/>
                <w:szCs w:val="20"/>
                <w:lang w:val="es-GT" w:eastAsia="es-GT"/>
              </w:rPr>
            </w:pPr>
            <w:r w:rsidRPr="00B627D3">
              <w:rPr>
                <w:b/>
                <w:bCs/>
                <w:sz w:val="20"/>
                <w:szCs w:val="20"/>
                <w:lang w:val="es-GT" w:eastAsia="es-GT"/>
              </w:rPr>
              <w:t>Aprobado</w:t>
            </w:r>
          </w:p>
        </w:tc>
        <w:tc>
          <w:tcPr>
            <w:tcW w:w="1185" w:type="dxa"/>
            <w:tcBorders>
              <w:top w:val="nil"/>
              <w:left w:val="nil"/>
              <w:bottom w:val="single" w:sz="4" w:space="0" w:color="auto"/>
              <w:right w:val="single" w:sz="4" w:space="0" w:color="auto"/>
            </w:tcBorders>
            <w:shd w:val="clear" w:color="000000" w:fill="8DB4E2"/>
            <w:vAlign w:val="center"/>
            <w:hideMark/>
          </w:tcPr>
          <w:p w:rsidR="00B627D3" w:rsidRPr="00B627D3" w:rsidRDefault="00B627D3" w:rsidP="00B627D3">
            <w:pPr>
              <w:jc w:val="center"/>
              <w:rPr>
                <w:b/>
                <w:bCs/>
                <w:sz w:val="20"/>
                <w:szCs w:val="20"/>
                <w:lang w:val="es-GT" w:eastAsia="es-GT"/>
              </w:rPr>
            </w:pPr>
            <w:r w:rsidRPr="00B627D3">
              <w:rPr>
                <w:b/>
                <w:bCs/>
                <w:sz w:val="20"/>
                <w:szCs w:val="20"/>
                <w:lang w:val="es-GT" w:eastAsia="es-GT"/>
              </w:rPr>
              <w:t>Ejecutado</w:t>
            </w:r>
          </w:p>
        </w:tc>
        <w:tc>
          <w:tcPr>
            <w:tcW w:w="1083" w:type="dxa"/>
            <w:vMerge/>
            <w:tcBorders>
              <w:top w:val="single" w:sz="8" w:space="0" w:color="auto"/>
              <w:left w:val="single" w:sz="4" w:space="0" w:color="auto"/>
              <w:bottom w:val="single" w:sz="4" w:space="0" w:color="000000"/>
              <w:right w:val="single" w:sz="4" w:space="0" w:color="auto"/>
            </w:tcBorders>
            <w:vAlign w:val="center"/>
            <w:hideMark/>
          </w:tcPr>
          <w:p w:rsidR="00B627D3" w:rsidRPr="00B627D3" w:rsidRDefault="00B627D3" w:rsidP="00B627D3">
            <w:pPr>
              <w:rPr>
                <w:b/>
                <w:bCs/>
                <w:sz w:val="20"/>
                <w:szCs w:val="20"/>
                <w:lang w:val="es-GT" w:eastAsia="es-GT"/>
              </w:rPr>
            </w:pPr>
          </w:p>
        </w:tc>
        <w:tc>
          <w:tcPr>
            <w:tcW w:w="1062" w:type="dxa"/>
            <w:vMerge/>
            <w:tcBorders>
              <w:top w:val="single" w:sz="8" w:space="0" w:color="auto"/>
              <w:left w:val="single" w:sz="4" w:space="0" w:color="auto"/>
              <w:bottom w:val="single" w:sz="4" w:space="0" w:color="000000"/>
              <w:right w:val="single" w:sz="4" w:space="0" w:color="auto"/>
            </w:tcBorders>
            <w:vAlign w:val="center"/>
            <w:hideMark/>
          </w:tcPr>
          <w:p w:rsidR="00B627D3" w:rsidRPr="00B627D3" w:rsidRDefault="00B627D3" w:rsidP="00B627D3">
            <w:pPr>
              <w:rPr>
                <w:b/>
                <w:bCs/>
                <w:sz w:val="20"/>
                <w:szCs w:val="20"/>
                <w:lang w:val="es-GT" w:eastAsia="es-GT"/>
              </w:rPr>
            </w:pPr>
          </w:p>
        </w:tc>
        <w:tc>
          <w:tcPr>
            <w:tcW w:w="1074" w:type="dxa"/>
            <w:vMerge/>
            <w:tcBorders>
              <w:top w:val="single" w:sz="8" w:space="0" w:color="auto"/>
              <w:left w:val="nil"/>
              <w:bottom w:val="single" w:sz="4" w:space="0" w:color="000000"/>
              <w:right w:val="single" w:sz="8" w:space="0" w:color="auto"/>
            </w:tcBorders>
            <w:vAlign w:val="center"/>
            <w:hideMark/>
          </w:tcPr>
          <w:p w:rsidR="00B627D3" w:rsidRPr="00B627D3" w:rsidRDefault="00B627D3" w:rsidP="00B627D3">
            <w:pPr>
              <w:rPr>
                <w:b/>
                <w:bCs/>
                <w:sz w:val="20"/>
                <w:szCs w:val="20"/>
                <w:lang w:val="es-GT" w:eastAsia="es-GT"/>
              </w:rPr>
            </w:pPr>
          </w:p>
        </w:tc>
      </w:tr>
      <w:tr w:rsidR="00B627D3" w:rsidRPr="00B627D3" w:rsidTr="00B627D3">
        <w:trPr>
          <w:trHeight w:val="465"/>
        </w:trPr>
        <w:tc>
          <w:tcPr>
            <w:tcW w:w="3984" w:type="dxa"/>
            <w:tcBorders>
              <w:top w:val="nil"/>
              <w:left w:val="single" w:sz="8" w:space="0" w:color="auto"/>
              <w:bottom w:val="nil"/>
              <w:right w:val="nil"/>
            </w:tcBorders>
            <w:shd w:val="clear" w:color="000000" w:fill="FFFFFF"/>
            <w:noWrap/>
            <w:vAlign w:val="bottom"/>
            <w:hideMark/>
          </w:tcPr>
          <w:p w:rsidR="00B627D3" w:rsidRPr="00B627D3" w:rsidRDefault="00B627D3" w:rsidP="00B627D3">
            <w:pPr>
              <w:jc w:val="center"/>
              <w:rPr>
                <w:b/>
                <w:bCs/>
                <w:color w:val="000000"/>
                <w:sz w:val="20"/>
                <w:szCs w:val="20"/>
                <w:lang w:val="es-GT" w:eastAsia="es-GT"/>
              </w:rPr>
            </w:pPr>
            <w:r w:rsidRPr="00B627D3">
              <w:rPr>
                <w:b/>
                <w:bCs/>
                <w:color w:val="000000"/>
                <w:sz w:val="20"/>
                <w:szCs w:val="20"/>
                <w:lang w:val="es-GT" w:eastAsia="es-GT"/>
              </w:rPr>
              <w:t>Total</w:t>
            </w:r>
          </w:p>
        </w:tc>
        <w:tc>
          <w:tcPr>
            <w:tcW w:w="1134" w:type="dxa"/>
            <w:tcBorders>
              <w:top w:val="nil"/>
              <w:left w:val="single" w:sz="4" w:space="0" w:color="auto"/>
              <w:bottom w:val="nil"/>
              <w:right w:val="single" w:sz="4" w:space="0" w:color="auto"/>
            </w:tcBorders>
            <w:shd w:val="clear" w:color="000000" w:fill="FFFFFF"/>
            <w:noWrap/>
            <w:vAlign w:val="center"/>
            <w:hideMark/>
          </w:tcPr>
          <w:p w:rsidR="00B627D3" w:rsidRPr="00B627D3" w:rsidRDefault="00B627D3" w:rsidP="00B627D3">
            <w:pPr>
              <w:jc w:val="right"/>
              <w:rPr>
                <w:b/>
                <w:bCs/>
                <w:color w:val="000000"/>
                <w:sz w:val="20"/>
                <w:szCs w:val="20"/>
                <w:lang w:val="es-GT" w:eastAsia="es-GT"/>
              </w:rPr>
            </w:pPr>
            <w:r w:rsidRPr="00B627D3">
              <w:rPr>
                <w:b/>
                <w:bCs/>
                <w:color w:val="000000"/>
                <w:sz w:val="20"/>
                <w:szCs w:val="20"/>
                <w:lang w:val="es-GT" w:eastAsia="es-GT"/>
              </w:rPr>
              <w:t xml:space="preserve">917.1 </w:t>
            </w:r>
          </w:p>
        </w:tc>
        <w:tc>
          <w:tcPr>
            <w:tcW w:w="1185"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b/>
                <w:bCs/>
                <w:color w:val="000000"/>
                <w:sz w:val="20"/>
                <w:szCs w:val="20"/>
                <w:lang w:val="es-GT" w:eastAsia="es-GT"/>
              </w:rPr>
            </w:pPr>
            <w:r w:rsidRPr="00B627D3">
              <w:rPr>
                <w:b/>
                <w:bCs/>
                <w:color w:val="000000"/>
                <w:sz w:val="20"/>
                <w:szCs w:val="20"/>
                <w:lang w:val="es-GT" w:eastAsia="es-GT"/>
              </w:rPr>
              <w:t xml:space="preserve">1,097.2 </w:t>
            </w:r>
          </w:p>
        </w:tc>
        <w:tc>
          <w:tcPr>
            <w:tcW w:w="1083"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b/>
                <w:bCs/>
                <w:color w:val="000000"/>
                <w:sz w:val="20"/>
                <w:szCs w:val="20"/>
                <w:lang w:val="es-GT" w:eastAsia="es-GT"/>
              </w:rPr>
            </w:pPr>
            <w:r w:rsidRPr="00B627D3">
              <w:rPr>
                <w:b/>
                <w:bCs/>
                <w:color w:val="000000"/>
                <w:sz w:val="20"/>
                <w:szCs w:val="20"/>
                <w:lang w:val="es-GT" w:eastAsia="es-GT"/>
              </w:rPr>
              <w:t>-180.0</w:t>
            </w:r>
          </w:p>
        </w:tc>
        <w:tc>
          <w:tcPr>
            <w:tcW w:w="1062"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b/>
                <w:bCs/>
                <w:color w:val="000000"/>
                <w:sz w:val="20"/>
                <w:szCs w:val="20"/>
                <w:lang w:val="es-GT" w:eastAsia="es-GT"/>
              </w:rPr>
            </w:pPr>
            <w:r w:rsidRPr="00B627D3">
              <w:rPr>
                <w:b/>
                <w:bCs/>
                <w:color w:val="000000"/>
                <w:sz w:val="20"/>
                <w:szCs w:val="20"/>
                <w:lang w:val="es-GT" w:eastAsia="es-GT"/>
              </w:rPr>
              <w:t>119.6%</w:t>
            </w:r>
          </w:p>
        </w:tc>
        <w:tc>
          <w:tcPr>
            <w:tcW w:w="1074" w:type="dxa"/>
            <w:tcBorders>
              <w:top w:val="nil"/>
              <w:left w:val="nil"/>
              <w:bottom w:val="nil"/>
              <w:right w:val="single" w:sz="8" w:space="0" w:color="auto"/>
            </w:tcBorders>
            <w:shd w:val="clear" w:color="000000" w:fill="FFFFFF"/>
            <w:noWrap/>
            <w:vAlign w:val="center"/>
            <w:hideMark/>
          </w:tcPr>
          <w:p w:rsidR="00B627D3" w:rsidRPr="00B627D3" w:rsidRDefault="00B627D3" w:rsidP="00B627D3">
            <w:pPr>
              <w:jc w:val="right"/>
              <w:rPr>
                <w:b/>
                <w:bCs/>
                <w:color w:val="000000"/>
                <w:sz w:val="20"/>
                <w:szCs w:val="20"/>
                <w:lang w:val="es-GT" w:eastAsia="es-GT"/>
              </w:rPr>
            </w:pPr>
            <w:r w:rsidRPr="00B627D3">
              <w:rPr>
                <w:b/>
                <w:bCs/>
                <w:color w:val="000000"/>
                <w:sz w:val="20"/>
                <w:szCs w:val="20"/>
                <w:lang w:val="es-GT" w:eastAsia="es-GT"/>
              </w:rPr>
              <w:t>100.0%</w:t>
            </w:r>
          </w:p>
        </w:tc>
      </w:tr>
      <w:tr w:rsidR="00B627D3" w:rsidRPr="00B627D3" w:rsidTr="00B627D3">
        <w:trPr>
          <w:trHeight w:val="465"/>
        </w:trPr>
        <w:tc>
          <w:tcPr>
            <w:tcW w:w="3984" w:type="dxa"/>
            <w:tcBorders>
              <w:top w:val="nil"/>
              <w:left w:val="single" w:sz="8" w:space="0" w:color="auto"/>
              <w:bottom w:val="nil"/>
              <w:right w:val="nil"/>
            </w:tcBorders>
            <w:shd w:val="clear" w:color="auto" w:fill="auto"/>
            <w:noWrap/>
            <w:vAlign w:val="center"/>
            <w:hideMark/>
          </w:tcPr>
          <w:p w:rsidR="00B627D3" w:rsidRPr="00B627D3" w:rsidRDefault="00B627D3" w:rsidP="00B627D3">
            <w:pPr>
              <w:rPr>
                <w:color w:val="000000"/>
                <w:sz w:val="20"/>
                <w:szCs w:val="20"/>
                <w:lang w:val="es-GT" w:eastAsia="es-GT"/>
              </w:rPr>
            </w:pPr>
            <w:r w:rsidRPr="00B627D3">
              <w:rPr>
                <w:color w:val="000000"/>
                <w:sz w:val="20"/>
                <w:szCs w:val="20"/>
                <w:lang w:val="es-GT" w:eastAsia="es-GT"/>
              </w:rPr>
              <w:t>Ministerio de Salud Pública y Asistencia Social</w:t>
            </w:r>
          </w:p>
        </w:tc>
        <w:tc>
          <w:tcPr>
            <w:tcW w:w="1134" w:type="dxa"/>
            <w:tcBorders>
              <w:top w:val="nil"/>
              <w:left w:val="single" w:sz="4" w:space="0" w:color="auto"/>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517.4 </w:t>
            </w:r>
          </w:p>
        </w:tc>
        <w:tc>
          <w:tcPr>
            <w:tcW w:w="1185"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565.4 </w:t>
            </w:r>
          </w:p>
        </w:tc>
        <w:tc>
          <w:tcPr>
            <w:tcW w:w="1083"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-48.0</w:t>
            </w:r>
          </w:p>
        </w:tc>
        <w:tc>
          <w:tcPr>
            <w:tcW w:w="1062"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109.3%</w:t>
            </w:r>
          </w:p>
        </w:tc>
        <w:tc>
          <w:tcPr>
            <w:tcW w:w="1074" w:type="dxa"/>
            <w:tcBorders>
              <w:top w:val="nil"/>
              <w:left w:val="nil"/>
              <w:bottom w:val="nil"/>
              <w:right w:val="single" w:sz="8"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51.5%</w:t>
            </w:r>
          </w:p>
        </w:tc>
      </w:tr>
      <w:tr w:rsidR="00B627D3" w:rsidRPr="00B627D3" w:rsidTr="00B627D3">
        <w:trPr>
          <w:trHeight w:val="465"/>
        </w:trPr>
        <w:tc>
          <w:tcPr>
            <w:tcW w:w="3984" w:type="dxa"/>
            <w:tcBorders>
              <w:top w:val="nil"/>
              <w:left w:val="single" w:sz="8" w:space="0" w:color="auto"/>
              <w:bottom w:val="nil"/>
              <w:right w:val="nil"/>
            </w:tcBorders>
            <w:shd w:val="clear" w:color="auto" w:fill="auto"/>
            <w:noWrap/>
            <w:vAlign w:val="center"/>
            <w:hideMark/>
          </w:tcPr>
          <w:p w:rsidR="00B627D3" w:rsidRPr="00B627D3" w:rsidRDefault="00B627D3" w:rsidP="00B627D3">
            <w:pPr>
              <w:rPr>
                <w:color w:val="000000"/>
                <w:sz w:val="20"/>
                <w:szCs w:val="20"/>
                <w:lang w:val="es-GT" w:eastAsia="es-GT"/>
              </w:rPr>
            </w:pPr>
            <w:r w:rsidRPr="00B627D3">
              <w:rPr>
                <w:color w:val="000000"/>
                <w:sz w:val="20"/>
                <w:szCs w:val="20"/>
                <w:lang w:val="es-GT" w:eastAsia="es-GT"/>
              </w:rPr>
              <w:t>Obligaciones del Estado a Cargo del Tesoro</w:t>
            </w:r>
          </w:p>
        </w:tc>
        <w:tc>
          <w:tcPr>
            <w:tcW w:w="1134" w:type="dxa"/>
            <w:tcBorders>
              <w:top w:val="nil"/>
              <w:left w:val="single" w:sz="4" w:space="0" w:color="auto"/>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60.0 </w:t>
            </w:r>
          </w:p>
        </w:tc>
        <w:tc>
          <w:tcPr>
            <w:tcW w:w="1185"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105.8 </w:t>
            </w:r>
          </w:p>
        </w:tc>
        <w:tc>
          <w:tcPr>
            <w:tcW w:w="1083"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-45.8</w:t>
            </w:r>
          </w:p>
        </w:tc>
        <w:tc>
          <w:tcPr>
            <w:tcW w:w="1062"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176.4%</w:t>
            </w:r>
          </w:p>
        </w:tc>
        <w:tc>
          <w:tcPr>
            <w:tcW w:w="1074" w:type="dxa"/>
            <w:tcBorders>
              <w:top w:val="nil"/>
              <w:left w:val="nil"/>
              <w:bottom w:val="nil"/>
              <w:right w:val="single" w:sz="8"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9.6%</w:t>
            </w:r>
          </w:p>
        </w:tc>
      </w:tr>
      <w:tr w:rsidR="00B627D3" w:rsidRPr="00B627D3" w:rsidTr="00B627D3">
        <w:trPr>
          <w:trHeight w:val="465"/>
        </w:trPr>
        <w:tc>
          <w:tcPr>
            <w:tcW w:w="3984" w:type="dxa"/>
            <w:tcBorders>
              <w:top w:val="nil"/>
              <w:left w:val="single" w:sz="8" w:space="0" w:color="auto"/>
              <w:bottom w:val="nil"/>
              <w:right w:val="nil"/>
            </w:tcBorders>
            <w:shd w:val="clear" w:color="auto" w:fill="auto"/>
            <w:noWrap/>
            <w:vAlign w:val="center"/>
            <w:hideMark/>
          </w:tcPr>
          <w:p w:rsidR="00B627D3" w:rsidRPr="00B627D3" w:rsidRDefault="00B627D3" w:rsidP="00B627D3">
            <w:pPr>
              <w:rPr>
                <w:color w:val="000000"/>
                <w:sz w:val="20"/>
                <w:szCs w:val="20"/>
                <w:lang w:val="es-GT" w:eastAsia="es-GT"/>
              </w:rPr>
            </w:pPr>
            <w:r w:rsidRPr="00B627D3">
              <w:rPr>
                <w:color w:val="000000"/>
                <w:sz w:val="20"/>
                <w:szCs w:val="20"/>
                <w:lang w:val="es-GT" w:eastAsia="es-GT"/>
              </w:rPr>
              <w:t>Ministerio de Educación</w:t>
            </w:r>
          </w:p>
        </w:tc>
        <w:tc>
          <w:tcPr>
            <w:tcW w:w="1134" w:type="dxa"/>
            <w:tcBorders>
              <w:top w:val="nil"/>
              <w:left w:val="single" w:sz="4" w:space="0" w:color="auto"/>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309.4 </w:t>
            </w:r>
          </w:p>
        </w:tc>
        <w:tc>
          <w:tcPr>
            <w:tcW w:w="1185"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327.3 </w:t>
            </w:r>
          </w:p>
        </w:tc>
        <w:tc>
          <w:tcPr>
            <w:tcW w:w="1083"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-18.0</w:t>
            </w:r>
          </w:p>
        </w:tc>
        <w:tc>
          <w:tcPr>
            <w:tcW w:w="1062"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105.8%</w:t>
            </w:r>
          </w:p>
        </w:tc>
        <w:tc>
          <w:tcPr>
            <w:tcW w:w="1074" w:type="dxa"/>
            <w:tcBorders>
              <w:top w:val="nil"/>
              <w:left w:val="nil"/>
              <w:bottom w:val="nil"/>
              <w:right w:val="single" w:sz="8"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29.8%</w:t>
            </w:r>
          </w:p>
        </w:tc>
      </w:tr>
      <w:tr w:rsidR="00B627D3" w:rsidRPr="00B627D3" w:rsidTr="00B627D3">
        <w:trPr>
          <w:trHeight w:val="465"/>
        </w:trPr>
        <w:tc>
          <w:tcPr>
            <w:tcW w:w="3984" w:type="dxa"/>
            <w:tcBorders>
              <w:top w:val="nil"/>
              <w:left w:val="single" w:sz="8" w:space="0" w:color="auto"/>
              <w:bottom w:val="nil"/>
              <w:right w:val="nil"/>
            </w:tcBorders>
            <w:shd w:val="clear" w:color="auto" w:fill="auto"/>
            <w:noWrap/>
            <w:vAlign w:val="center"/>
            <w:hideMark/>
          </w:tcPr>
          <w:p w:rsidR="00B627D3" w:rsidRPr="00B627D3" w:rsidRDefault="00B627D3" w:rsidP="00B627D3">
            <w:pPr>
              <w:rPr>
                <w:color w:val="000000"/>
                <w:sz w:val="20"/>
                <w:szCs w:val="20"/>
                <w:lang w:val="es-GT" w:eastAsia="es-GT"/>
              </w:rPr>
            </w:pPr>
            <w:r w:rsidRPr="00B627D3">
              <w:rPr>
                <w:color w:val="000000"/>
                <w:sz w:val="20"/>
                <w:szCs w:val="20"/>
                <w:lang w:val="es-GT" w:eastAsia="es-GT"/>
              </w:rPr>
              <w:t>Ministerio de Agricultura</w:t>
            </w:r>
            <w:r>
              <w:rPr>
                <w:color w:val="000000"/>
                <w:sz w:val="20"/>
                <w:szCs w:val="20"/>
                <w:lang w:val="es-GT" w:eastAsia="es-GT"/>
              </w:rPr>
              <w:t>, Ganadería y Alimentación</w:t>
            </w:r>
          </w:p>
        </w:tc>
        <w:tc>
          <w:tcPr>
            <w:tcW w:w="1134" w:type="dxa"/>
            <w:tcBorders>
              <w:top w:val="nil"/>
              <w:left w:val="single" w:sz="4" w:space="0" w:color="auto"/>
              <w:bottom w:val="nil"/>
              <w:right w:val="single" w:sz="4" w:space="0" w:color="auto"/>
            </w:tcBorders>
            <w:shd w:val="clear" w:color="000000" w:fill="FFFFFF"/>
            <w:noWrap/>
            <w:vAlign w:val="center"/>
            <w:hideMark/>
          </w:tcPr>
          <w:p w:rsidR="00B627D3" w:rsidRPr="00B627D3" w:rsidRDefault="00B627D3" w:rsidP="00B627D3">
            <w:pPr>
              <w:jc w:val="right"/>
              <w:rPr>
                <w:color w:val="000000"/>
                <w:sz w:val="14"/>
                <w:szCs w:val="20"/>
                <w:lang w:val="es-GT" w:eastAsia="es-GT"/>
              </w:rPr>
            </w:pPr>
          </w:p>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10.4 </w:t>
            </w:r>
          </w:p>
        </w:tc>
        <w:tc>
          <w:tcPr>
            <w:tcW w:w="1185"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14"/>
                <w:szCs w:val="20"/>
                <w:lang w:val="es-GT" w:eastAsia="es-GT"/>
              </w:rPr>
            </w:pPr>
          </w:p>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80.6 </w:t>
            </w:r>
          </w:p>
        </w:tc>
        <w:tc>
          <w:tcPr>
            <w:tcW w:w="1083"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14"/>
                <w:szCs w:val="20"/>
                <w:lang w:val="es-GT" w:eastAsia="es-GT"/>
              </w:rPr>
            </w:pPr>
          </w:p>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-70.3</w:t>
            </w:r>
          </w:p>
        </w:tc>
        <w:tc>
          <w:tcPr>
            <w:tcW w:w="1062"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14"/>
                <w:szCs w:val="20"/>
                <w:lang w:val="es-GT" w:eastAsia="es-GT"/>
              </w:rPr>
            </w:pPr>
          </w:p>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778.7%</w:t>
            </w:r>
          </w:p>
        </w:tc>
        <w:tc>
          <w:tcPr>
            <w:tcW w:w="1074" w:type="dxa"/>
            <w:tcBorders>
              <w:top w:val="nil"/>
              <w:left w:val="nil"/>
              <w:bottom w:val="nil"/>
              <w:right w:val="single" w:sz="8" w:space="0" w:color="auto"/>
            </w:tcBorders>
            <w:shd w:val="clear" w:color="000000" w:fill="FFFFFF"/>
            <w:noWrap/>
            <w:vAlign w:val="center"/>
            <w:hideMark/>
          </w:tcPr>
          <w:p w:rsidR="00B627D3" w:rsidRPr="00B627D3" w:rsidRDefault="00B627D3" w:rsidP="00B627D3">
            <w:pPr>
              <w:jc w:val="right"/>
              <w:rPr>
                <w:color w:val="000000"/>
                <w:sz w:val="14"/>
                <w:szCs w:val="20"/>
                <w:lang w:val="es-GT" w:eastAsia="es-GT"/>
              </w:rPr>
            </w:pPr>
          </w:p>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7.3%</w:t>
            </w:r>
          </w:p>
        </w:tc>
      </w:tr>
      <w:tr w:rsidR="00B627D3" w:rsidRPr="00B627D3" w:rsidTr="00B627D3">
        <w:trPr>
          <w:trHeight w:val="465"/>
        </w:trPr>
        <w:tc>
          <w:tcPr>
            <w:tcW w:w="3984" w:type="dxa"/>
            <w:tcBorders>
              <w:top w:val="nil"/>
              <w:left w:val="single" w:sz="8" w:space="0" w:color="auto"/>
              <w:bottom w:val="nil"/>
              <w:right w:val="nil"/>
            </w:tcBorders>
            <w:shd w:val="clear" w:color="auto" w:fill="auto"/>
            <w:noWrap/>
            <w:vAlign w:val="center"/>
            <w:hideMark/>
          </w:tcPr>
          <w:p w:rsidR="00B627D3" w:rsidRPr="00B627D3" w:rsidRDefault="00B627D3" w:rsidP="00B627D3">
            <w:pPr>
              <w:rPr>
                <w:color w:val="000000"/>
                <w:sz w:val="20"/>
                <w:szCs w:val="20"/>
                <w:lang w:val="es-GT" w:eastAsia="es-GT"/>
              </w:rPr>
            </w:pPr>
            <w:r w:rsidRPr="00B627D3">
              <w:rPr>
                <w:color w:val="000000"/>
                <w:sz w:val="20"/>
                <w:szCs w:val="20"/>
                <w:lang w:val="es-GT" w:eastAsia="es-GT"/>
              </w:rPr>
              <w:t>Ministerio de Gobernación</w:t>
            </w:r>
          </w:p>
        </w:tc>
        <w:tc>
          <w:tcPr>
            <w:tcW w:w="1134" w:type="dxa"/>
            <w:tcBorders>
              <w:top w:val="nil"/>
              <w:left w:val="single" w:sz="4" w:space="0" w:color="auto"/>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10.4 </w:t>
            </w:r>
          </w:p>
        </w:tc>
        <w:tc>
          <w:tcPr>
            <w:tcW w:w="1185"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10.4 </w:t>
            </w:r>
          </w:p>
        </w:tc>
        <w:tc>
          <w:tcPr>
            <w:tcW w:w="1083"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0.0</w:t>
            </w:r>
          </w:p>
        </w:tc>
        <w:tc>
          <w:tcPr>
            <w:tcW w:w="1062"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100.0%</w:t>
            </w:r>
          </w:p>
        </w:tc>
        <w:tc>
          <w:tcPr>
            <w:tcW w:w="1074" w:type="dxa"/>
            <w:tcBorders>
              <w:top w:val="nil"/>
              <w:left w:val="nil"/>
              <w:bottom w:val="nil"/>
              <w:right w:val="single" w:sz="8"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0.9%</w:t>
            </w:r>
          </w:p>
        </w:tc>
      </w:tr>
      <w:tr w:rsidR="00B627D3" w:rsidRPr="00B627D3" w:rsidTr="00B627D3">
        <w:trPr>
          <w:trHeight w:val="465"/>
        </w:trPr>
        <w:tc>
          <w:tcPr>
            <w:tcW w:w="3984" w:type="dxa"/>
            <w:tcBorders>
              <w:top w:val="nil"/>
              <w:left w:val="single" w:sz="8" w:space="0" w:color="auto"/>
              <w:bottom w:val="nil"/>
              <w:right w:val="nil"/>
            </w:tcBorders>
            <w:shd w:val="clear" w:color="auto" w:fill="auto"/>
            <w:noWrap/>
            <w:vAlign w:val="center"/>
            <w:hideMark/>
          </w:tcPr>
          <w:p w:rsidR="00B627D3" w:rsidRPr="00B627D3" w:rsidRDefault="00B627D3" w:rsidP="00B627D3">
            <w:pPr>
              <w:rPr>
                <w:color w:val="000000"/>
                <w:sz w:val="20"/>
                <w:szCs w:val="20"/>
                <w:lang w:val="es-GT" w:eastAsia="es-GT"/>
              </w:rPr>
            </w:pPr>
            <w:r w:rsidRPr="00B627D3">
              <w:rPr>
                <w:color w:val="000000"/>
                <w:sz w:val="20"/>
                <w:szCs w:val="20"/>
                <w:lang w:val="es-GT" w:eastAsia="es-GT"/>
              </w:rPr>
              <w:t>Ministerio de Cultura y Deportes</w:t>
            </w:r>
          </w:p>
        </w:tc>
        <w:tc>
          <w:tcPr>
            <w:tcW w:w="1134" w:type="dxa"/>
            <w:tcBorders>
              <w:top w:val="nil"/>
              <w:left w:val="single" w:sz="4" w:space="0" w:color="auto"/>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7.7 </w:t>
            </w:r>
          </w:p>
        </w:tc>
        <w:tc>
          <w:tcPr>
            <w:tcW w:w="1185"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5.7 </w:t>
            </w:r>
          </w:p>
        </w:tc>
        <w:tc>
          <w:tcPr>
            <w:tcW w:w="1083"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2.0</w:t>
            </w:r>
          </w:p>
        </w:tc>
        <w:tc>
          <w:tcPr>
            <w:tcW w:w="1062"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74.0%</w:t>
            </w:r>
          </w:p>
        </w:tc>
        <w:tc>
          <w:tcPr>
            <w:tcW w:w="1074" w:type="dxa"/>
            <w:tcBorders>
              <w:top w:val="nil"/>
              <w:left w:val="nil"/>
              <w:bottom w:val="nil"/>
              <w:right w:val="single" w:sz="8"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0.5%</w:t>
            </w:r>
          </w:p>
        </w:tc>
      </w:tr>
      <w:tr w:rsidR="00B627D3" w:rsidRPr="00B627D3" w:rsidTr="00B627D3">
        <w:trPr>
          <w:trHeight w:val="465"/>
        </w:trPr>
        <w:tc>
          <w:tcPr>
            <w:tcW w:w="3984" w:type="dxa"/>
            <w:tcBorders>
              <w:top w:val="nil"/>
              <w:left w:val="single" w:sz="8" w:space="0" w:color="auto"/>
              <w:bottom w:val="nil"/>
              <w:right w:val="nil"/>
            </w:tcBorders>
            <w:shd w:val="clear" w:color="auto" w:fill="auto"/>
            <w:noWrap/>
            <w:vAlign w:val="center"/>
            <w:hideMark/>
          </w:tcPr>
          <w:p w:rsidR="00B627D3" w:rsidRPr="00B627D3" w:rsidRDefault="00B627D3" w:rsidP="00B627D3">
            <w:pPr>
              <w:rPr>
                <w:color w:val="000000"/>
                <w:sz w:val="20"/>
                <w:szCs w:val="20"/>
                <w:lang w:val="es-GT" w:eastAsia="es-GT"/>
              </w:rPr>
            </w:pPr>
            <w:r w:rsidRPr="00B627D3">
              <w:rPr>
                <w:color w:val="000000"/>
                <w:sz w:val="20"/>
                <w:szCs w:val="20"/>
                <w:lang w:val="es-GT" w:eastAsia="es-GT"/>
              </w:rPr>
              <w:t>Ministerio de Economía</w:t>
            </w:r>
          </w:p>
        </w:tc>
        <w:tc>
          <w:tcPr>
            <w:tcW w:w="1134" w:type="dxa"/>
            <w:tcBorders>
              <w:top w:val="nil"/>
              <w:left w:val="single" w:sz="4" w:space="0" w:color="auto"/>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1.7 </w:t>
            </w:r>
          </w:p>
        </w:tc>
        <w:tc>
          <w:tcPr>
            <w:tcW w:w="1185"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1.8 </w:t>
            </w:r>
          </w:p>
        </w:tc>
        <w:tc>
          <w:tcPr>
            <w:tcW w:w="1083"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0.0</w:t>
            </w:r>
          </w:p>
        </w:tc>
        <w:tc>
          <w:tcPr>
            <w:tcW w:w="1062"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101.7%</w:t>
            </w:r>
          </w:p>
        </w:tc>
        <w:tc>
          <w:tcPr>
            <w:tcW w:w="1074" w:type="dxa"/>
            <w:tcBorders>
              <w:top w:val="nil"/>
              <w:left w:val="nil"/>
              <w:bottom w:val="nil"/>
              <w:right w:val="single" w:sz="8"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0.2%</w:t>
            </w:r>
          </w:p>
        </w:tc>
      </w:tr>
      <w:tr w:rsidR="00B627D3" w:rsidRPr="00B627D3" w:rsidTr="00B627D3">
        <w:trPr>
          <w:trHeight w:val="465"/>
        </w:trPr>
        <w:tc>
          <w:tcPr>
            <w:tcW w:w="3984" w:type="dxa"/>
            <w:tcBorders>
              <w:top w:val="nil"/>
              <w:left w:val="single" w:sz="8" w:space="0" w:color="auto"/>
              <w:bottom w:val="nil"/>
              <w:right w:val="nil"/>
            </w:tcBorders>
            <w:shd w:val="clear" w:color="auto" w:fill="auto"/>
            <w:noWrap/>
            <w:vAlign w:val="center"/>
            <w:hideMark/>
          </w:tcPr>
          <w:p w:rsidR="00B627D3" w:rsidRPr="00B627D3" w:rsidRDefault="00B627D3" w:rsidP="00B627D3">
            <w:pPr>
              <w:rPr>
                <w:color w:val="000000"/>
                <w:sz w:val="20"/>
                <w:szCs w:val="20"/>
                <w:lang w:val="es-GT" w:eastAsia="es-GT"/>
              </w:rPr>
            </w:pPr>
            <w:r w:rsidRPr="00B627D3">
              <w:rPr>
                <w:color w:val="000000"/>
                <w:sz w:val="20"/>
                <w:szCs w:val="20"/>
                <w:lang w:val="es-GT" w:eastAsia="es-GT"/>
              </w:rPr>
              <w:t>Secretarías y Otras Dependencias del Ejecutivo</w:t>
            </w:r>
          </w:p>
        </w:tc>
        <w:tc>
          <w:tcPr>
            <w:tcW w:w="1134" w:type="dxa"/>
            <w:tcBorders>
              <w:top w:val="nil"/>
              <w:left w:val="single" w:sz="4" w:space="0" w:color="auto"/>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p>
        </w:tc>
        <w:tc>
          <w:tcPr>
            <w:tcW w:w="1185" w:type="dxa"/>
            <w:tcBorders>
              <w:top w:val="nil"/>
              <w:left w:val="nil"/>
              <w:bottom w:val="nil"/>
              <w:right w:val="nil"/>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0.2 </w:t>
            </w:r>
          </w:p>
        </w:tc>
        <w:tc>
          <w:tcPr>
            <w:tcW w:w="1083" w:type="dxa"/>
            <w:tcBorders>
              <w:top w:val="nil"/>
              <w:left w:val="single" w:sz="4" w:space="0" w:color="auto"/>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-0.2</w:t>
            </w:r>
          </w:p>
        </w:tc>
        <w:tc>
          <w:tcPr>
            <w:tcW w:w="1062" w:type="dxa"/>
            <w:tcBorders>
              <w:top w:val="nil"/>
              <w:left w:val="nil"/>
              <w:bottom w:val="nil"/>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100.0%</w:t>
            </w:r>
          </w:p>
        </w:tc>
        <w:tc>
          <w:tcPr>
            <w:tcW w:w="1074" w:type="dxa"/>
            <w:tcBorders>
              <w:top w:val="nil"/>
              <w:left w:val="nil"/>
              <w:bottom w:val="nil"/>
              <w:right w:val="single" w:sz="8"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0.0%</w:t>
            </w:r>
          </w:p>
        </w:tc>
      </w:tr>
      <w:tr w:rsidR="00B627D3" w:rsidRPr="00B627D3" w:rsidTr="00B627D3">
        <w:trPr>
          <w:trHeight w:val="465"/>
        </w:trPr>
        <w:tc>
          <w:tcPr>
            <w:tcW w:w="3984" w:type="dxa"/>
            <w:tcBorders>
              <w:top w:val="nil"/>
              <w:left w:val="single" w:sz="8" w:space="0" w:color="auto"/>
              <w:bottom w:val="single" w:sz="8" w:space="0" w:color="auto"/>
              <w:right w:val="nil"/>
            </w:tcBorders>
            <w:shd w:val="clear" w:color="auto" w:fill="auto"/>
            <w:noWrap/>
            <w:vAlign w:val="center"/>
            <w:hideMark/>
          </w:tcPr>
          <w:p w:rsidR="00B627D3" w:rsidRPr="00B627D3" w:rsidRDefault="00B627D3" w:rsidP="00B627D3">
            <w:pPr>
              <w:rPr>
                <w:color w:val="000000"/>
                <w:sz w:val="20"/>
                <w:szCs w:val="20"/>
                <w:lang w:val="es-GT" w:eastAsia="es-GT"/>
              </w:rPr>
            </w:pPr>
            <w:r w:rsidRPr="00B627D3">
              <w:rPr>
                <w:color w:val="000000"/>
                <w:sz w:val="20"/>
                <w:szCs w:val="20"/>
                <w:lang w:val="es-GT" w:eastAsia="es-GT"/>
              </w:rPr>
              <w:t>Ministerio de Finanzas Públicas</w:t>
            </w:r>
          </w:p>
        </w:tc>
        <w:tc>
          <w:tcPr>
            <w:tcW w:w="1134" w:type="dxa"/>
            <w:tcBorders>
              <w:top w:val="nil"/>
              <w:left w:val="single" w:sz="4" w:space="0" w:color="auto"/>
              <w:bottom w:val="single" w:sz="8" w:space="0" w:color="auto"/>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0.2 </w:t>
            </w:r>
          </w:p>
        </w:tc>
        <w:tc>
          <w:tcPr>
            <w:tcW w:w="1185" w:type="dxa"/>
            <w:tcBorders>
              <w:top w:val="nil"/>
              <w:left w:val="nil"/>
              <w:bottom w:val="single" w:sz="8" w:space="0" w:color="auto"/>
              <w:right w:val="nil"/>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 xml:space="preserve">0.03 </w:t>
            </w:r>
          </w:p>
        </w:tc>
        <w:tc>
          <w:tcPr>
            <w:tcW w:w="1083" w:type="dxa"/>
            <w:tcBorders>
              <w:top w:val="nil"/>
              <w:left w:val="single" w:sz="4" w:space="0" w:color="auto"/>
              <w:bottom w:val="single" w:sz="8" w:space="0" w:color="auto"/>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0.2</w:t>
            </w:r>
          </w:p>
        </w:tc>
        <w:tc>
          <w:tcPr>
            <w:tcW w:w="1062" w:type="dxa"/>
            <w:tcBorders>
              <w:top w:val="nil"/>
              <w:left w:val="nil"/>
              <w:bottom w:val="single" w:sz="8" w:space="0" w:color="auto"/>
              <w:right w:val="single" w:sz="4"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13.8%</w:t>
            </w:r>
          </w:p>
        </w:tc>
        <w:tc>
          <w:tcPr>
            <w:tcW w:w="1074" w:type="dxa"/>
            <w:tcBorders>
              <w:top w:val="nil"/>
              <w:left w:val="nil"/>
              <w:bottom w:val="single" w:sz="8" w:space="0" w:color="auto"/>
              <w:right w:val="single" w:sz="8" w:space="0" w:color="auto"/>
            </w:tcBorders>
            <w:shd w:val="clear" w:color="000000" w:fill="FFFFFF"/>
            <w:noWrap/>
            <w:vAlign w:val="center"/>
            <w:hideMark/>
          </w:tcPr>
          <w:p w:rsidR="00B627D3" w:rsidRPr="00B627D3" w:rsidRDefault="00B627D3" w:rsidP="00B627D3">
            <w:pPr>
              <w:jc w:val="right"/>
              <w:rPr>
                <w:color w:val="000000"/>
                <w:sz w:val="20"/>
                <w:szCs w:val="20"/>
                <w:lang w:val="es-GT" w:eastAsia="es-GT"/>
              </w:rPr>
            </w:pPr>
            <w:r w:rsidRPr="00B627D3">
              <w:rPr>
                <w:color w:val="000000"/>
                <w:sz w:val="20"/>
                <w:szCs w:val="20"/>
                <w:lang w:val="es-GT" w:eastAsia="es-GT"/>
              </w:rPr>
              <w:t>0.0%</w:t>
            </w:r>
          </w:p>
        </w:tc>
      </w:tr>
    </w:tbl>
    <w:p w:rsidR="00011502" w:rsidRDefault="00011502" w:rsidP="00011502">
      <w:pPr>
        <w:jc w:val="both"/>
        <w:rPr>
          <w:sz w:val="18"/>
        </w:rPr>
      </w:pPr>
      <w:r>
        <w:rPr>
          <w:sz w:val="18"/>
        </w:rPr>
        <w:t>* Cifras preliminares</w:t>
      </w:r>
    </w:p>
    <w:p w:rsidR="00011502" w:rsidRPr="00CE76C6" w:rsidRDefault="00527489" w:rsidP="00011502">
      <w:pPr>
        <w:jc w:val="both"/>
        <w:rPr>
          <w:sz w:val="18"/>
        </w:rPr>
      </w:pPr>
      <w:r>
        <w:rPr>
          <w:sz w:val="18"/>
        </w:rPr>
        <w:t xml:space="preserve">   </w:t>
      </w:r>
      <w:r w:rsidR="00011502" w:rsidRPr="00CE76C6">
        <w:rPr>
          <w:sz w:val="18"/>
        </w:rPr>
        <w:t>Fuente: Ministerio de Finanzas Públicas</w:t>
      </w:r>
      <w:r w:rsidR="00011502">
        <w:rPr>
          <w:sz w:val="18"/>
        </w:rPr>
        <w:t>.</w:t>
      </w:r>
    </w:p>
    <w:p w:rsidR="00011502" w:rsidRDefault="00011502" w:rsidP="00011502">
      <w:pPr>
        <w:jc w:val="center"/>
        <w:rPr>
          <w:b/>
        </w:rPr>
      </w:pPr>
    </w:p>
    <w:p w:rsidR="00011502" w:rsidRDefault="00011502" w:rsidP="00011502">
      <w:pPr>
        <w:rPr>
          <w:b/>
        </w:rPr>
      </w:pPr>
      <w:r>
        <w:rPr>
          <w:b/>
        </w:rPr>
        <w:br w:type="page"/>
      </w:r>
    </w:p>
    <w:p w:rsidR="00011502" w:rsidRPr="000A71A1" w:rsidRDefault="00011502" w:rsidP="00011502">
      <w:pPr>
        <w:jc w:val="center"/>
        <w:rPr>
          <w:b/>
        </w:rPr>
      </w:pPr>
      <w:r w:rsidRPr="000A71A1">
        <w:rPr>
          <w:b/>
        </w:rPr>
        <w:lastRenderedPageBreak/>
        <w:t xml:space="preserve">Cuadro </w:t>
      </w:r>
      <w:r>
        <w:rPr>
          <w:b/>
        </w:rPr>
        <w:t>8</w:t>
      </w:r>
    </w:p>
    <w:p w:rsidR="00011502" w:rsidRPr="000A71A1" w:rsidRDefault="00011502" w:rsidP="00011502">
      <w:pPr>
        <w:jc w:val="center"/>
        <w:rPr>
          <w:b/>
        </w:rPr>
      </w:pPr>
      <w:r w:rsidRPr="000A71A1">
        <w:rPr>
          <w:b/>
        </w:rPr>
        <w:t xml:space="preserve">Política General de Gobierno, </w:t>
      </w:r>
      <w:r>
        <w:rPr>
          <w:b/>
        </w:rPr>
        <w:t>P</w:t>
      </w:r>
      <w:r w:rsidRPr="000A71A1">
        <w:rPr>
          <w:b/>
        </w:rPr>
        <w:t xml:space="preserve">acto </w:t>
      </w:r>
      <w:r>
        <w:rPr>
          <w:b/>
        </w:rPr>
        <w:t>H</w:t>
      </w:r>
      <w:r w:rsidRPr="000A71A1">
        <w:rPr>
          <w:b/>
        </w:rPr>
        <w:t>ambre Cero</w:t>
      </w:r>
    </w:p>
    <w:p w:rsidR="00011502" w:rsidRDefault="00011502" w:rsidP="00011502">
      <w:pPr>
        <w:jc w:val="center"/>
        <w:rPr>
          <w:b/>
        </w:rPr>
      </w:pPr>
      <w:r w:rsidRPr="000A71A1">
        <w:rPr>
          <w:b/>
        </w:rPr>
        <w:t>Al 31 de diciembre de 201</w:t>
      </w:r>
      <w:r w:rsidR="00B86EBE">
        <w:rPr>
          <w:b/>
        </w:rPr>
        <w:t>9</w:t>
      </w:r>
      <w:r w:rsidRPr="000A71A1">
        <w:rPr>
          <w:b/>
        </w:rPr>
        <w:t>*</w:t>
      </w:r>
    </w:p>
    <w:p w:rsidR="00011502" w:rsidRDefault="00011502" w:rsidP="00011502">
      <w:pPr>
        <w:jc w:val="center"/>
        <w:rPr>
          <w:b/>
          <w:bCs/>
          <w:sz w:val="28"/>
          <w:lang w:val="es-GT" w:eastAsia="es-GT"/>
        </w:rPr>
      </w:pPr>
      <w:r>
        <w:rPr>
          <w:b/>
          <w:bCs/>
          <w:sz w:val="28"/>
          <w:lang w:val="es-GT" w:eastAsia="es-GT"/>
        </w:rPr>
        <w:t>(</w:t>
      </w:r>
      <w:r w:rsidRPr="00D829B5">
        <w:rPr>
          <w:b/>
          <w:bCs/>
          <w:sz w:val="28"/>
          <w:lang w:val="es-GT" w:eastAsia="es-GT"/>
        </w:rPr>
        <w:t>Millones de Quetzales</w:t>
      </w:r>
      <w:r>
        <w:rPr>
          <w:b/>
          <w:bCs/>
          <w:sz w:val="28"/>
          <w:lang w:val="es-GT" w:eastAsia="es-GT"/>
        </w:rPr>
        <w:t>)</w:t>
      </w:r>
    </w:p>
    <w:p w:rsidR="00011502" w:rsidRPr="00D829B5" w:rsidRDefault="00011502" w:rsidP="00B86EBE">
      <w:pPr>
        <w:ind w:left="-284"/>
        <w:jc w:val="center"/>
        <w:rPr>
          <w:lang w:val="es-GT"/>
        </w:rPr>
      </w:pPr>
      <w:r w:rsidRPr="004360CA">
        <w:rPr>
          <w:noProof/>
          <w:lang w:val="es-GT" w:eastAsia="es-GT"/>
        </w:rPr>
        <w:drawing>
          <wp:inline distT="0" distB="0" distL="0" distR="0" wp14:anchorId="189478B8" wp14:editId="12E7E5BE">
            <wp:extent cx="6166713" cy="7198156"/>
            <wp:effectExtent l="0" t="0" r="5715"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72981" cy="7205472"/>
                    </a:xfrm>
                    <a:prstGeom prst="rect">
                      <a:avLst/>
                    </a:prstGeom>
                    <a:noFill/>
                    <a:ln>
                      <a:noFill/>
                    </a:ln>
                  </pic:spPr>
                </pic:pic>
              </a:graphicData>
            </a:graphic>
          </wp:inline>
        </w:drawing>
      </w:r>
    </w:p>
    <w:p w:rsidR="00011502" w:rsidRDefault="00011502" w:rsidP="00011502">
      <w:pPr>
        <w:pStyle w:val="NormalWeb"/>
        <w:spacing w:before="0" w:beforeAutospacing="0" w:after="0" w:afterAutospacing="0"/>
        <w:jc w:val="center"/>
        <w:rPr>
          <w:rFonts w:eastAsia="+mn-ea"/>
          <w:b/>
          <w:bCs/>
          <w:color w:val="000000"/>
          <w:kern w:val="24"/>
        </w:rPr>
      </w:pPr>
    </w:p>
    <w:p w:rsidR="00011502" w:rsidRDefault="00011502" w:rsidP="00011502">
      <w:pPr>
        <w:pStyle w:val="NormalWeb"/>
        <w:spacing w:before="0" w:beforeAutospacing="0" w:after="0" w:afterAutospacing="0"/>
        <w:jc w:val="center"/>
        <w:rPr>
          <w:rFonts w:eastAsia="+mn-ea"/>
          <w:b/>
          <w:bCs/>
          <w:color w:val="000000"/>
          <w:kern w:val="24"/>
        </w:rPr>
      </w:pPr>
    </w:p>
    <w:p w:rsidR="00011502" w:rsidRDefault="00011502" w:rsidP="00B86EBE">
      <w:pPr>
        <w:pStyle w:val="NormalWeb"/>
        <w:spacing w:before="0" w:beforeAutospacing="0" w:after="0" w:afterAutospacing="0"/>
        <w:ind w:left="-284"/>
        <w:jc w:val="center"/>
        <w:rPr>
          <w:rFonts w:eastAsia="+mn-ea"/>
          <w:b/>
          <w:bCs/>
          <w:color w:val="000000"/>
          <w:kern w:val="24"/>
        </w:rPr>
      </w:pPr>
      <w:r w:rsidRPr="004360CA">
        <w:rPr>
          <w:noProof/>
        </w:rPr>
        <w:drawing>
          <wp:inline distT="0" distB="0" distL="0" distR="0" wp14:anchorId="656554A8" wp14:editId="7B6D986E">
            <wp:extent cx="6093562" cy="7154265"/>
            <wp:effectExtent l="0" t="0" r="2540" b="88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95409" cy="7156434"/>
                    </a:xfrm>
                    <a:prstGeom prst="rect">
                      <a:avLst/>
                    </a:prstGeom>
                    <a:noFill/>
                    <a:ln>
                      <a:noFill/>
                    </a:ln>
                  </pic:spPr>
                </pic:pic>
              </a:graphicData>
            </a:graphic>
          </wp:inline>
        </w:drawing>
      </w:r>
    </w:p>
    <w:p w:rsidR="00011502" w:rsidRDefault="00011502" w:rsidP="00B86EBE">
      <w:pPr>
        <w:ind w:left="-284"/>
        <w:jc w:val="both"/>
        <w:rPr>
          <w:sz w:val="18"/>
          <w:lang w:val="es-GT"/>
        </w:rPr>
      </w:pPr>
      <w:r w:rsidRPr="00EA79A0">
        <w:rPr>
          <w:sz w:val="18"/>
          <w:lang w:val="es-GT"/>
        </w:rPr>
        <w:t xml:space="preserve">* Cifras </w:t>
      </w:r>
      <w:r>
        <w:rPr>
          <w:sz w:val="18"/>
          <w:lang w:val="es-GT"/>
        </w:rPr>
        <w:t>preliminares</w:t>
      </w:r>
    </w:p>
    <w:p w:rsidR="00011502" w:rsidRPr="00EA79A0" w:rsidRDefault="00011502" w:rsidP="00B86EBE">
      <w:pPr>
        <w:ind w:left="-284"/>
        <w:jc w:val="both"/>
        <w:rPr>
          <w:sz w:val="18"/>
        </w:rPr>
      </w:pPr>
      <w:r w:rsidRPr="00EA79A0">
        <w:rPr>
          <w:sz w:val="18"/>
        </w:rPr>
        <w:t>Fuente: Ministerio de Finanzas Públicas</w:t>
      </w:r>
      <w:r>
        <w:rPr>
          <w:sz w:val="18"/>
        </w:rPr>
        <w:t>.</w:t>
      </w:r>
    </w:p>
    <w:p w:rsidR="00011502" w:rsidRPr="00124AD6" w:rsidRDefault="00011502" w:rsidP="00011502">
      <w:pPr>
        <w:jc w:val="both"/>
      </w:pPr>
    </w:p>
    <w:p w:rsidR="00652585" w:rsidRDefault="00652585" w:rsidP="00011502">
      <w:pPr>
        <w:jc w:val="both"/>
      </w:pPr>
    </w:p>
    <w:p w:rsidR="00011502" w:rsidRDefault="00011502" w:rsidP="00011502">
      <w:pPr>
        <w:jc w:val="both"/>
      </w:pPr>
      <w:r>
        <w:t xml:space="preserve">Para el </w:t>
      </w:r>
      <w:r w:rsidR="00B86EBE">
        <w:t>E</w:t>
      </w:r>
      <w:r>
        <w:t xml:space="preserve">jercicio </w:t>
      </w:r>
      <w:r w:rsidR="00B86EBE">
        <w:t>F</w:t>
      </w:r>
      <w:r>
        <w:t xml:space="preserve">iscal 2019, el presupuesto aprobado para el </w:t>
      </w:r>
      <w:r w:rsidR="00B86EBE">
        <w:t xml:space="preserve">Programa de </w:t>
      </w:r>
      <w:r>
        <w:t>Hambre Cero fue de Q</w:t>
      </w:r>
      <w:r w:rsidR="00B86EBE">
        <w:t>.</w:t>
      </w:r>
      <w:r>
        <w:t>5,218.1 millones, con una ejecución de Q</w:t>
      </w:r>
      <w:r w:rsidR="00B86EBE">
        <w:t>.</w:t>
      </w:r>
      <w:r>
        <w:t>4,642.5 millones, equivalentes a una ejecución del 89.0% de lo estimado en el presupuesto aprobado, en sus diferentes programas que lo integran.</w:t>
      </w:r>
    </w:p>
    <w:p w:rsidR="00011502" w:rsidRPr="00652585" w:rsidRDefault="00011502" w:rsidP="00011502">
      <w:pPr>
        <w:jc w:val="both"/>
        <w:rPr>
          <w:sz w:val="28"/>
        </w:rPr>
      </w:pPr>
    </w:p>
    <w:p w:rsidR="00011502" w:rsidRDefault="00011502" w:rsidP="00011502">
      <w:pPr>
        <w:jc w:val="both"/>
      </w:pPr>
      <w:r>
        <w:t>El Programa Hambre Cero cuenta con varias líneas de acción dentro de las cuales sobresalen las que tuvieron la mayor ejecución, así: Escuela Saludable, con una ejecución de Q</w:t>
      </w:r>
      <w:r w:rsidR="00B86EBE">
        <w:t>.</w:t>
      </w:r>
      <w:r>
        <w:t>2,027.1 millones, equivalentes al 98.7% de su presupuesto aprobado; Mejoramiento de los Ingresos y la Economía Familiar con una ejecución de Q</w:t>
      </w:r>
      <w:r w:rsidR="00B86EBE">
        <w:t>.</w:t>
      </w:r>
      <w:r>
        <w:t>1,178.9 millones, equivalentes al 72.7% de su presupuesto aprobado; Provisión de los Servicios Básicos de Salud y Nutrición con una ejecución de Q</w:t>
      </w:r>
      <w:r w:rsidR="00B86EBE">
        <w:t>.</w:t>
      </w:r>
      <w:r>
        <w:t>924.8 millones, equivalentes al 88.9% de su presupuesto aprobado; Atención a la Población Vulnerable a la Inseguridad Alimentaria con una ejecución de Q</w:t>
      </w:r>
      <w:r w:rsidR="00B86EBE">
        <w:t>.</w:t>
      </w:r>
      <w:r>
        <w:t>348.5 millones, equivalentes al 118.0% de su presupuesto aprobado. El resto de las líneas de acción se ubican por debajo de los Q</w:t>
      </w:r>
      <w:r w:rsidR="00B86EBE">
        <w:t>.</w:t>
      </w:r>
      <w:r>
        <w:t>62.6 millones, los cuales fueron ejecutados por la línea de acción denominada Hogar Saludable.</w:t>
      </w:r>
    </w:p>
    <w:p w:rsidR="00011502" w:rsidRDefault="00011502" w:rsidP="00011502">
      <w:pPr>
        <w:jc w:val="both"/>
      </w:pPr>
    </w:p>
    <w:p w:rsidR="00652585" w:rsidRDefault="00652585" w:rsidP="00011502">
      <w:pPr>
        <w:jc w:val="both"/>
      </w:pPr>
    </w:p>
    <w:p w:rsidR="00652585" w:rsidRPr="00124AD6" w:rsidRDefault="00652585" w:rsidP="00011502">
      <w:pPr>
        <w:jc w:val="both"/>
      </w:pPr>
    </w:p>
    <w:p w:rsidR="00011502" w:rsidRPr="00E4440A" w:rsidRDefault="00011502" w:rsidP="00C774F3">
      <w:pPr>
        <w:pStyle w:val="Ttulo2"/>
        <w:numPr>
          <w:ilvl w:val="0"/>
          <w:numId w:val="3"/>
        </w:numPr>
        <w:spacing w:line="276" w:lineRule="auto"/>
        <w:ind w:left="567" w:hanging="567"/>
        <w:rPr>
          <w:rFonts w:ascii="Times New Roman" w:hAnsi="Times New Roman"/>
          <w:color w:val="auto"/>
          <w:sz w:val="24"/>
          <w:szCs w:val="24"/>
        </w:rPr>
      </w:pPr>
      <w:bookmarkStart w:id="18" w:name="_Toc32829795"/>
      <w:r w:rsidRPr="00E4440A">
        <w:rPr>
          <w:rFonts w:ascii="Times New Roman" w:hAnsi="Times New Roman"/>
          <w:color w:val="auto"/>
          <w:sz w:val="24"/>
          <w:szCs w:val="24"/>
        </w:rPr>
        <w:t>Déficit Fiscal S</w:t>
      </w:r>
      <w:r w:rsidR="006B509B" w:rsidRPr="00E4440A">
        <w:rPr>
          <w:rFonts w:ascii="Times New Roman" w:hAnsi="Times New Roman"/>
          <w:color w:val="auto"/>
          <w:sz w:val="24"/>
          <w:szCs w:val="24"/>
        </w:rPr>
        <w:t>ostenible</w:t>
      </w:r>
      <w:bookmarkEnd w:id="18"/>
    </w:p>
    <w:p w:rsidR="00011502" w:rsidRPr="00652585" w:rsidRDefault="00011502" w:rsidP="00011502">
      <w:pPr>
        <w:rPr>
          <w:sz w:val="28"/>
        </w:rPr>
      </w:pPr>
    </w:p>
    <w:p w:rsidR="00011502" w:rsidRDefault="00011502" w:rsidP="00011502">
      <w:pPr>
        <w:jc w:val="both"/>
        <w:rPr>
          <w:lang w:val="es-GT"/>
        </w:rPr>
      </w:pPr>
      <w:r>
        <w:rPr>
          <w:lang w:val="es-GT"/>
        </w:rPr>
        <w:t xml:space="preserve">En los últimos 20 años, el 2010 experimentó el déficit más alto al llegar </w:t>
      </w:r>
      <w:r w:rsidR="00CA4A3D">
        <w:rPr>
          <w:lang w:val="es-GT"/>
        </w:rPr>
        <w:t xml:space="preserve">a </w:t>
      </w:r>
      <w:r>
        <w:rPr>
          <w:lang w:val="es-GT"/>
        </w:rPr>
        <w:t>3.3% del PIB y a partir de ese año, el 2016 ha sido el más bajo llegando al 1.1%</w:t>
      </w:r>
      <w:r w:rsidR="00CA4A3D">
        <w:rPr>
          <w:lang w:val="es-GT"/>
        </w:rPr>
        <w:t>. A</w:t>
      </w:r>
      <w:r>
        <w:rPr>
          <w:lang w:val="es-GT"/>
        </w:rPr>
        <w:t xml:space="preserve"> partir de 2017 nuevamente inicia el ascenso un tanto acelerado al ubicarse en 1.4%</w:t>
      </w:r>
      <w:r w:rsidR="00CA4A3D">
        <w:rPr>
          <w:lang w:val="es-GT"/>
        </w:rPr>
        <w:t xml:space="preserve">; </w:t>
      </w:r>
      <w:r>
        <w:rPr>
          <w:lang w:val="es-GT"/>
        </w:rPr>
        <w:t>en el 2018</w:t>
      </w:r>
      <w:r w:rsidR="00CA4A3D">
        <w:rPr>
          <w:lang w:val="es-GT"/>
        </w:rPr>
        <w:t xml:space="preserve"> llega a 1.9%</w:t>
      </w:r>
      <w:r>
        <w:rPr>
          <w:lang w:val="es-GT"/>
        </w:rPr>
        <w:t xml:space="preserve"> y para 2019 preliminarmente </w:t>
      </w:r>
      <w:r w:rsidR="00CA4A3D">
        <w:rPr>
          <w:lang w:val="es-GT"/>
        </w:rPr>
        <w:t xml:space="preserve">se </w:t>
      </w:r>
      <w:r>
        <w:rPr>
          <w:lang w:val="es-GT"/>
        </w:rPr>
        <w:t>registra un valor del 2.3%, al pasar de Q</w:t>
      </w:r>
      <w:r w:rsidR="00CA4A3D">
        <w:rPr>
          <w:lang w:val="es-GT"/>
        </w:rPr>
        <w:t>.</w:t>
      </w:r>
      <w:r>
        <w:rPr>
          <w:lang w:val="es-GT"/>
        </w:rPr>
        <w:t>10,368.6 millones en 2018 a Q</w:t>
      </w:r>
      <w:r w:rsidR="00CA4A3D">
        <w:rPr>
          <w:lang w:val="es-GT"/>
        </w:rPr>
        <w:t>.</w:t>
      </w:r>
      <w:r>
        <w:rPr>
          <w:lang w:val="es-GT"/>
        </w:rPr>
        <w:t>13,294.4 millones en 2019.</w:t>
      </w:r>
    </w:p>
    <w:p w:rsidR="00011502" w:rsidRPr="00652585" w:rsidRDefault="00011502" w:rsidP="00011502">
      <w:pPr>
        <w:jc w:val="both"/>
        <w:rPr>
          <w:sz w:val="28"/>
          <w:lang w:val="es-GT"/>
        </w:rPr>
      </w:pPr>
    </w:p>
    <w:p w:rsidR="00011502" w:rsidRPr="00124AD6" w:rsidRDefault="00011502" w:rsidP="00011502">
      <w:pPr>
        <w:jc w:val="both"/>
      </w:pPr>
      <w:r>
        <w:rPr>
          <w:lang w:val="es-GT"/>
        </w:rPr>
        <w:t>Con el resultado presupuestario preliminar de 2019</w:t>
      </w:r>
      <w:r w:rsidR="00CA4A3D">
        <w:rPr>
          <w:lang w:val="es-GT"/>
        </w:rPr>
        <w:t>,</w:t>
      </w:r>
      <w:r>
        <w:rPr>
          <w:lang w:val="es-GT"/>
        </w:rPr>
        <w:t xml:space="preserve"> el déficit como porcentaje del PIB se ubica por encima del promedio de 2.0% de los últimos 20 años. </w:t>
      </w:r>
      <w:r w:rsidRPr="00124AD6">
        <w:t>Esta situación</w:t>
      </w:r>
      <w:r>
        <w:t xml:space="preserve"> propicia que debe mantener</w:t>
      </w:r>
      <w:r w:rsidR="00CA4A3D">
        <w:t>se</w:t>
      </w:r>
      <w:r>
        <w:t xml:space="preserve"> el control de l</w:t>
      </w:r>
      <w:r w:rsidRPr="00124AD6">
        <w:t xml:space="preserve">a senda de consolidación fiscal y </w:t>
      </w:r>
      <w:r>
        <w:t>generar</w:t>
      </w:r>
      <w:r w:rsidRPr="00124AD6">
        <w:t xml:space="preserve"> las condiciones para preservar la estabilidad macroeconómica y la sostenibilidad </w:t>
      </w:r>
      <w:r>
        <w:t xml:space="preserve">de la política </w:t>
      </w:r>
      <w:r w:rsidRPr="00124AD6">
        <w:t>fiscal en el mediano plazo.</w:t>
      </w:r>
    </w:p>
    <w:p w:rsidR="00011502" w:rsidRPr="00652585" w:rsidRDefault="00011502" w:rsidP="00011502">
      <w:pPr>
        <w:rPr>
          <w:sz w:val="28"/>
        </w:rPr>
      </w:pPr>
    </w:p>
    <w:p w:rsidR="00011502" w:rsidRDefault="00011502" w:rsidP="00011502">
      <w:pPr>
        <w:jc w:val="both"/>
      </w:pPr>
      <w:r w:rsidRPr="00124AD6">
        <w:t xml:space="preserve">Dentro de los objetivos de la política fiscal se incluye elevar la recaudación de ingresos tributarios, combatir la evasión y el contrabando, lograr la sostenibilidad de los niveles de endeudamiento, así como </w:t>
      </w:r>
      <w:r>
        <w:t>mantener</w:t>
      </w:r>
      <w:r w:rsidRPr="00124AD6">
        <w:t xml:space="preserve"> la transparencia </w:t>
      </w:r>
      <w:r w:rsidR="00CA4A3D">
        <w:t xml:space="preserve">fiscal </w:t>
      </w:r>
      <w:r w:rsidRPr="00124AD6">
        <w:t xml:space="preserve">y </w:t>
      </w:r>
      <w:r>
        <w:t xml:space="preserve">la </w:t>
      </w:r>
      <w:r w:rsidRPr="00124AD6">
        <w:t>calidad del gasto público enfocados en el logro de los resultados y una mejor asignación de los recursos</w:t>
      </w:r>
      <w:r>
        <w:t>, priorizando el gasto social.</w:t>
      </w:r>
    </w:p>
    <w:p w:rsidR="00011502" w:rsidRDefault="00011502" w:rsidP="00011502">
      <w:r>
        <w:br w:type="page"/>
      </w:r>
    </w:p>
    <w:p w:rsidR="00011502" w:rsidRDefault="00011502" w:rsidP="00011502">
      <w:pPr>
        <w:jc w:val="both"/>
      </w:pPr>
    </w:p>
    <w:p w:rsidR="00ED73BC" w:rsidRDefault="00ED73BC" w:rsidP="00011502">
      <w:pPr>
        <w:jc w:val="both"/>
      </w:pPr>
    </w:p>
    <w:p w:rsidR="00011502" w:rsidRPr="00124AD6" w:rsidRDefault="00011502" w:rsidP="00011502">
      <w:pPr>
        <w:jc w:val="center"/>
        <w:rPr>
          <w:b/>
        </w:rPr>
      </w:pPr>
      <w:r w:rsidRPr="00124AD6">
        <w:rPr>
          <w:b/>
        </w:rPr>
        <w:t>Gráfica 1</w:t>
      </w:r>
      <w:r w:rsidR="00171AA8">
        <w:rPr>
          <w:b/>
        </w:rPr>
        <w:t>8</w:t>
      </w:r>
    </w:p>
    <w:p w:rsidR="00011502" w:rsidRPr="00124AD6" w:rsidRDefault="00011502" w:rsidP="00011502">
      <w:pPr>
        <w:pStyle w:val="NormalWeb"/>
        <w:spacing w:before="0" w:beforeAutospacing="0" w:after="0" w:afterAutospacing="0"/>
        <w:jc w:val="center"/>
        <w:rPr>
          <w:rFonts w:eastAsia="+mn-ea"/>
          <w:b/>
          <w:bCs/>
          <w:color w:val="000000"/>
          <w:kern w:val="24"/>
        </w:rPr>
      </w:pPr>
      <w:r w:rsidRPr="00124AD6">
        <w:rPr>
          <w:rFonts w:eastAsia="+mn-ea"/>
          <w:b/>
          <w:bCs/>
          <w:color w:val="000000"/>
          <w:kern w:val="24"/>
        </w:rPr>
        <w:t>Déficit de la Administración Central 2000</w:t>
      </w:r>
      <w:r>
        <w:rPr>
          <w:rFonts w:eastAsia="+mn-ea"/>
          <w:b/>
          <w:bCs/>
          <w:color w:val="000000"/>
          <w:kern w:val="24"/>
        </w:rPr>
        <w:t xml:space="preserve"> </w:t>
      </w:r>
      <w:r w:rsidR="00171AA8">
        <w:rPr>
          <w:rFonts w:eastAsia="+mn-ea"/>
          <w:b/>
          <w:bCs/>
          <w:color w:val="000000"/>
          <w:kern w:val="24"/>
        </w:rPr>
        <w:t>-</w:t>
      </w:r>
      <w:r>
        <w:rPr>
          <w:rFonts w:eastAsia="+mn-ea"/>
          <w:b/>
          <w:bCs/>
          <w:color w:val="000000"/>
          <w:kern w:val="24"/>
        </w:rPr>
        <w:t xml:space="preserve"> </w:t>
      </w:r>
      <w:r w:rsidRPr="00124AD6">
        <w:rPr>
          <w:rFonts w:eastAsia="+mn-ea"/>
          <w:b/>
          <w:bCs/>
          <w:color w:val="000000"/>
          <w:kern w:val="24"/>
        </w:rPr>
        <w:t>201</w:t>
      </w:r>
      <w:r w:rsidR="00171AA8">
        <w:rPr>
          <w:rFonts w:eastAsia="+mn-ea"/>
          <w:b/>
          <w:bCs/>
          <w:color w:val="000000"/>
          <w:kern w:val="24"/>
        </w:rPr>
        <w:t>9</w:t>
      </w:r>
      <w:r>
        <w:rPr>
          <w:rFonts w:eastAsia="+mn-ea"/>
          <w:b/>
          <w:bCs/>
          <w:color w:val="000000"/>
          <w:kern w:val="24"/>
        </w:rPr>
        <w:t>*</w:t>
      </w:r>
    </w:p>
    <w:p w:rsidR="00011502" w:rsidRPr="00124AD6" w:rsidRDefault="00011502" w:rsidP="00011502">
      <w:pPr>
        <w:pStyle w:val="NormalWeb"/>
        <w:spacing w:before="0" w:beforeAutospacing="0" w:after="0" w:afterAutospacing="0"/>
        <w:jc w:val="center"/>
        <w:rPr>
          <w:rFonts w:eastAsia="+mn-ea"/>
          <w:b/>
          <w:bCs/>
          <w:color w:val="000000"/>
          <w:kern w:val="24"/>
        </w:rPr>
      </w:pPr>
      <w:r>
        <w:rPr>
          <w:rFonts w:eastAsia="+mn-ea"/>
          <w:b/>
          <w:bCs/>
          <w:color w:val="000000"/>
          <w:kern w:val="24"/>
        </w:rPr>
        <w:t>(Porcentajes del PIB)</w:t>
      </w:r>
    </w:p>
    <w:p w:rsidR="00011502" w:rsidRPr="00124AD6" w:rsidRDefault="00011502" w:rsidP="00011502">
      <w:pPr>
        <w:jc w:val="both"/>
      </w:pPr>
      <w:r>
        <w:rPr>
          <w:noProof/>
          <w:lang w:val="es-GT" w:eastAsia="es-GT"/>
        </w:rPr>
        <w:drawing>
          <wp:inline distT="0" distB="0" distL="0" distR="0" wp14:anchorId="367DA747" wp14:editId="0D871741">
            <wp:extent cx="5610758" cy="3591763"/>
            <wp:effectExtent l="0" t="0" r="0" b="8890"/>
            <wp:docPr id="54" name="Gráfico 5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DBDC797-30C1-464C-AE12-4E4BC50702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011502" w:rsidRDefault="00AE28BF" w:rsidP="00011502">
      <w:pPr>
        <w:jc w:val="both"/>
        <w:rPr>
          <w:sz w:val="18"/>
          <w:lang w:val="es-GT"/>
        </w:rPr>
      </w:pPr>
      <w:r>
        <w:rPr>
          <w:sz w:val="18"/>
          <w:lang w:val="es-GT"/>
        </w:rPr>
        <w:t xml:space="preserve">           </w:t>
      </w:r>
      <w:r w:rsidR="00011502" w:rsidRPr="00EA79A0">
        <w:rPr>
          <w:sz w:val="18"/>
          <w:lang w:val="es-GT"/>
        </w:rPr>
        <w:t xml:space="preserve">* Cifras </w:t>
      </w:r>
      <w:r w:rsidR="00011502">
        <w:rPr>
          <w:sz w:val="18"/>
          <w:lang w:val="es-GT"/>
        </w:rPr>
        <w:t>preliminares</w:t>
      </w:r>
    </w:p>
    <w:p w:rsidR="00011502" w:rsidRPr="00EA79A0" w:rsidRDefault="00AE28BF" w:rsidP="00011502">
      <w:pPr>
        <w:jc w:val="both"/>
        <w:rPr>
          <w:sz w:val="18"/>
        </w:rPr>
      </w:pPr>
      <w:r>
        <w:rPr>
          <w:sz w:val="18"/>
        </w:rPr>
        <w:t xml:space="preserve">              </w:t>
      </w:r>
      <w:r w:rsidR="00011502" w:rsidRPr="00EA79A0">
        <w:rPr>
          <w:sz w:val="18"/>
        </w:rPr>
        <w:t>Fuente: Ministerio de Finanzas Públicas</w:t>
      </w:r>
      <w:r w:rsidR="00011502">
        <w:rPr>
          <w:sz w:val="18"/>
        </w:rPr>
        <w:t>.</w:t>
      </w:r>
    </w:p>
    <w:p w:rsidR="00011502" w:rsidRDefault="00011502" w:rsidP="00011502">
      <w:pPr>
        <w:jc w:val="both"/>
      </w:pPr>
    </w:p>
    <w:p w:rsidR="00ED73BC" w:rsidRPr="00124AD6" w:rsidRDefault="00ED73BC" w:rsidP="00011502">
      <w:pPr>
        <w:jc w:val="both"/>
      </w:pPr>
    </w:p>
    <w:p w:rsidR="00011502" w:rsidRPr="002F3A71" w:rsidRDefault="00011502" w:rsidP="00011502">
      <w:pPr>
        <w:jc w:val="both"/>
        <w:rPr>
          <w:lang w:val="es-MX"/>
        </w:rPr>
      </w:pPr>
      <w:r w:rsidRPr="002F3A71">
        <w:rPr>
          <w:lang w:val="es-MX"/>
        </w:rPr>
        <w:t xml:space="preserve">El comportamiento en </w:t>
      </w:r>
      <w:r>
        <w:rPr>
          <w:lang w:val="es-MX"/>
        </w:rPr>
        <w:t>el</w:t>
      </w:r>
      <w:r w:rsidRPr="002F3A71">
        <w:rPr>
          <w:lang w:val="es-MX"/>
        </w:rPr>
        <w:t xml:space="preserve"> resultado </w:t>
      </w:r>
      <w:r>
        <w:rPr>
          <w:lang w:val="es-MX"/>
        </w:rPr>
        <w:t>presupuestario</w:t>
      </w:r>
      <w:r w:rsidRPr="002F3A71">
        <w:rPr>
          <w:lang w:val="es-MX"/>
        </w:rPr>
        <w:t xml:space="preserve"> para 201</w:t>
      </w:r>
      <w:r>
        <w:rPr>
          <w:lang w:val="es-MX"/>
        </w:rPr>
        <w:t>9</w:t>
      </w:r>
      <w:r w:rsidRPr="002F3A71">
        <w:rPr>
          <w:lang w:val="es-MX"/>
        </w:rPr>
        <w:t xml:space="preserve">, </w:t>
      </w:r>
      <w:r w:rsidRPr="00253E46">
        <w:t>sugiere que la política fiscal fue expansiva considerando que los ingresos mostraron una reducción en términos del PIB con respecto al año anterior; por su parte el gasto público mostró un desempeño más dinámico, ambos factores propiciaron que la actividad económica tuviera una desaceleración menos aguda</w:t>
      </w:r>
      <w:r>
        <w:t>.</w:t>
      </w:r>
      <w:r w:rsidRPr="00253E46">
        <w:t xml:space="preserve"> A este respecto, es importante indicar el efecto que tuvo al aumento de</w:t>
      </w:r>
      <w:r w:rsidR="00171AA8">
        <w:t>l</w:t>
      </w:r>
      <w:r w:rsidRPr="00253E46">
        <w:t xml:space="preserve"> gasto en los últimos dos meses del año que permitieron que la desaceleración económica que experimentaba la economía fuera </w:t>
      </w:r>
      <w:r>
        <w:t>menos</w:t>
      </w:r>
      <w:r w:rsidRPr="00253E46">
        <w:t xml:space="preserve"> acentuada.</w:t>
      </w:r>
    </w:p>
    <w:p w:rsidR="00011502" w:rsidRDefault="00011502" w:rsidP="00011502">
      <w:pPr>
        <w:jc w:val="both"/>
        <w:rPr>
          <w:lang w:val="es-MX"/>
        </w:rPr>
      </w:pPr>
    </w:p>
    <w:p w:rsidR="00011502" w:rsidRDefault="00011502" w:rsidP="00011502">
      <w:pPr>
        <w:jc w:val="center"/>
        <w:rPr>
          <w:b/>
        </w:rPr>
      </w:pPr>
    </w:p>
    <w:p w:rsidR="00011502" w:rsidRDefault="00011502" w:rsidP="00011502">
      <w:pPr>
        <w:jc w:val="center"/>
        <w:rPr>
          <w:b/>
        </w:rPr>
      </w:pPr>
    </w:p>
    <w:p w:rsidR="00011502" w:rsidRDefault="00011502" w:rsidP="00011502">
      <w:pPr>
        <w:jc w:val="center"/>
        <w:rPr>
          <w:b/>
        </w:rPr>
      </w:pPr>
    </w:p>
    <w:p w:rsidR="00011502" w:rsidRDefault="00011502" w:rsidP="00011502">
      <w:pPr>
        <w:jc w:val="center"/>
        <w:rPr>
          <w:b/>
        </w:rPr>
      </w:pPr>
    </w:p>
    <w:p w:rsidR="00011502" w:rsidRPr="00EC58A6" w:rsidRDefault="00011502" w:rsidP="00011502">
      <w:pPr>
        <w:rPr>
          <w:highlight w:val="yellow"/>
        </w:rPr>
      </w:pPr>
      <w:r w:rsidRPr="00EC58A6">
        <w:rPr>
          <w:highlight w:val="yellow"/>
        </w:rPr>
        <w:br w:type="page"/>
      </w:r>
    </w:p>
    <w:p w:rsidR="00011502" w:rsidRPr="00124AD6" w:rsidRDefault="00011502" w:rsidP="002D3BBB">
      <w:pPr>
        <w:pStyle w:val="NormalWeb"/>
        <w:spacing w:before="0" w:beforeAutospacing="0" w:after="0" w:afterAutospacing="0"/>
        <w:jc w:val="center"/>
        <w:rPr>
          <w:b/>
        </w:rPr>
      </w:pPr>
      <w:r w:rsidRPr="00124AD6">
        <w:rPr>
          <w:b/>
        </w:rPr>
        <w:lastRenderedPageBreak/>
        <w:t xml:space="preserve">Cuadro </w:t>
      </w:r>
      <w:r>
        <w:rPr>
          <w:b/>
        </w:rPr>
        <w:t>9</w:t>
      </w:r>
    </w:p>
    <w:p w:rsidR="00011502" w:rsidRPr="00124AD6" w:rsidRDefault="00011502" w:rsidP="002D3BBB">
      <w:pPr>
        <w:pStyle w:val="NormalWeb"/>
        <w:spacing w:before="0" w:beforeAutospacing="0" w:after="0" w:afterAutospacing="0"/>
        <w:jc w:val="center"/>
        <w:rPr>
          <w:b/>
        </w:rPr>
      </w:pPr>
      <w:r w:rsidRPr="00124AD6">
        <w:rPr>
          <w:b/>
        </w:rPr>
        <w:t>Situación Financiera de la Administración Central</w:t>
      </w:r>
    </w:p>
    <w:p w:rsidR="00011502" w:rsidRPr="00124AD6" w:rsidRDefault="00011502" w:rsidP="002D3BBB">
      <w:pPr>
        <w:pStyle w:val="NormalWeb"/>
        <w:spacing w:before="0" w:beforeAutospacing="0" w:after="0" w:afterAutospacing="0"/>
        <w:jc w:val="center"/>
        <w:rPr>
          <w:b/>
        </w:rPr>
      </w:pPr>
      <w:r w:rsidRPr="00124AD6">
        <w:rPr>
          <w:b/>
        </w:rPr>
        <w:t>Ejecución al 31 de diciembre de 201</w:t>
      </w:r>
      <w:r>
        <w:rPr>
          <w:b/>
        </w:rPr>
        <w:t>9</w:t>
      </w:r>
      <w:r w:rsidR="00E02938">
        <w:rPr>
          <w:b/>
        </w:rPr>
        <w:t>*</w:t>
      </w:r>
    </w:p>
    <w:p w:rsidR="00011502" w:rsidRDefault="00011502" w:rsidP="002D3BBB">
      <w:pPr>
        <w:pStyle w:val="NormalWeb"/>
        <w:spacing w:before="0" w:beforeAutospacing="0" w:after="0" w:afterAutospacing="0"/>
        <w:jc w:val="center"/>
        <w:rPr>
          <w:b/>
        </w:rPr>
      </w:pPr>
      <w:r>
        <w:rPr>
          <w:b/>
        </w:rPr>
        <w:t>(</w:t>
      </w:r>
      <w:r w:rsidRPr="00124AD6">
        <w:rPr>
          <w:b/>
        </w:rPr>
        <w:t>Millones de Quetzales y Porcentaj</w:t>
      </w:r>
      <w:r>
        <w:rPr>
          <w:b/>
        </w:rPr>
        <w:t>es)</w:t>
      </w:r>
    </w:p>
    <w:tbl>
      <w:tblPr>
        <w:tblW w:w="9346" w:type="dxa"/>
        <w:tblInd w:w="80" w:type="dxa"/>
        <w:tblCellMar>
          <w:left w:w="70" w:type="dxa"/>
          <w:right w:w="70" w:type="dxa"/>
        </w:tblCellMar>
        <w:tblLook w:val="04A0" w:firstRow="1" w:lastRow="0" w:firstColumn="1" w:lastColumn="0" w:noHBand="0" w:noVBand="1"/>
      </w:tblPr>
      <w:tblGrid>
        <w:gridCol w:w="4050"/>
        <w:gridCol w:w="1185"/>
        <w:gridCol w:w="1276"/>
        <w:gridCol w:w="1276"/>
        <w:gridCol w:w="1559"/>
      </w:tblGrid>
      <w:tr w:rsidR="00011502" w:rsidRPr="000455BD" w:rsidTr="002D3BBB">
        <w:trPr>
          <w:trHeight w:val="342"/>
        </w:trPr>
        <w:tc>
          <w:tcPr>
            <w:tcW w:w="4050" w:type="dxa"/>
            <w:vMerge w:val="restart"/>
            <w:tcBorders>
              <w:top w:val="single" w:sz="8" w:space="0" w:color="auto"/>
              <w:left w:val="single" w:sz="8" w:space="0" w:color="auto"/>
              <w:bottom w:val="nil"/>
              <w:right w:val="nil"/>
            </w:tcBorders>
            <w:shd w:val="clear" w:color="000000" w:fill="8DB4E2"/>
            <w:noWrap/>
            <w:vAlign w:val="center"/>
            <w:hideMark/>
          </w:tcPr>
          <w:p w:rsidR="00011502" w:rsidRPr="002D3BBB" w:rsidRDefault="00011502" w:rsidP="00011502">
            <w:pPr>
              <w:jc w:val="center"/>
              <w:rPr>
                <w:b/>
                <w:bCs/>
                <w:sz w:val="20"/>
                <w:lang w:val="es-GT" w:eastAsia="es-GT"/>
              </w:rPr>
            </w:pPr>
            <w:r w:rsidRPr="002D3BBB">
              <w:rPr>
                <w:b/>
                <w:bCs/>
                <w:sz w:val="20"/>
                <w:lang w:val="es-GT" w:eastAsia="es-GT"/>
              </w:rPr>
              <w:t>Concepto</w:t>
            </w:r>
          </w:p>
        </w:tc>
        <w:tc>
          <w:tcPr>
            <w:tcW w:w="2461" w:type="dxa"/>
            <w:gridSpan w:val="2"/>
            <w:tcBorders>
              <w:top w:val="single" w:sz="8" w:space="0" w:color="auto"/>
              <w:left w:val="nil"/>
              <w:bottom w:val="nil"/>
              <w:right w:val="nil"/>
            </w:tcBorders>
            <w:shd w:val="clear" w:color="000000" w:fill="8DB4E2"/>
            <w:vAlign w:val="center"/>
            <w:hideMark/>
          </w:tcPr>
          <w:p w:rsidR="00011502" w:rsidRPr="002D3BBB" w:rsidRDefault="00011502" w:rsidP="00011502">
            <w:pPr>
              <w:jc w:val="center"/>
              <w:rPr>
                <w:b/>
                <w:bCs/>
                <w:sz w:val="20"/>
                <w:lang w:val="es-GT" w:eastAsia="es-GT"/>
              </w:rPr>
            </w:pPr>
            <w:r w:rsidRPr="002D3BBB">
              <w:rPr>
                <w:b/>
                <w:bCs/>
                <w:sz w:val="20"/>
                <w:lang w:val="es-GT" w:eastAsia="es-GT"/>
              </w:rPr>
              <w:t>Presupuesto</w:t>
            </w:r>
          </w:p>
        </w:tc>
        <w:tc>
          <w:tcPr>
            <w:tcW w:w="1276" w:type="dxa"/>
            <w:vMerge w:val="restart"/>
            <w:tcBorders>
              <w:top w:val="single" w:sz="8" w:space="0" w:color="auto"/>
              <w:left w:val="nil"/>
              <w:bottom w:val="nil"/>
              <w:right w:val="nil"/>
            </w:tcBorders>
            <w:shd w:val="clear" w:color="000000" w:fill="8DB4E2"/>
            <w:vAlign w:val="center"/>
            <w:hideMark/>
          </w:tcPr>
          <w:p w:rsidR="00011502" w:rsidRPr="002D3BBB" w:rsidRDefault="00011502" w:rsidP="00011502">
            <w:pPr>
              <w:jc w:val="center"/>
              <w:rPr>
                <w:b/>
                <w:bCs/>
                <w:sz w:val="20"/>
                <w:lang w:val="es-GT" w:eastAsia="es-GT"/>
              </w:rPr>
            </w:pPr>
            <w:r w:rsidRPr="002D3BBB">
              <w:rPr>
                <w:b/>
                <w:bCs/>
                <w:sz w:val="20"/>
                <w:lang w:val="es-GT" w:eastAsia="es-GT"/>
              </w:rPr>
              <w:t>Diferencia</w:t>
            </w:r>
            <w:r w:rsidR="002D3BBB">
              <w:rPr>
                <w:b/>
                <w:bCs/>
                <w:sz w:val="20"/>
                <w:lang w:val="es-GT" w:eastAsia="es-GT"/>
              </w:rPr>
              <w:t>s</w:t>
            </w:r>
            <w:r w:rsidRPr="002D3BBB">
              <w:rPr>
                <w:b/>
                <w:bCs/>
                <w:sz w:val="20"/>
                <w:lang w:val="es-GT" w:eastAsia="es-GT"/>
              </w:rPr>
              <w:t xml:space="preserve"> Absoluta</w:t>
            </w:r>
            <w:r w:rsidR="002D3BBB">
              <w:rPr>
                <w:b/>
                <w:bCs/>
                <w:sz w:val="20"/>
                <w:lang w:val="es-GT" w:eastAsia="es-GT"/>
              </w:rPr>
              <w:t>s</w:t>
            </w:r>
          </w:p>
        </w:tc>
        <w:tc>
          <w:tcPr>
            <w:tcW w:w="1559" w:type="dxa"/>
            <w:vMerge w:val="restart"/>
            <w:tcBorders>
              <w:top w:val="single" w:sz="8" w:space="0" w:color="auto"/>
              <w:left w:val="nil"/>
              <w:bottom w:val="nil"/>
              <w:right w:val="single" w:sz="8" w:space="0" w:color="auto"/>
            </w:tcBorders>
            <w:shd w:val="clear" w:color="000000" w:fill="8DB4E2"/>
            <w:vAlign w:val="center"/>
            <w:hideMark/>
          </w:tcPr>
          <w:p w:rsidR="002D3BBB" w:rsidRDefault="00011502" w:rsidP="00011502">
            <w:pPr>
              <w:jc w:val="center"/>
              <w:rPr>
                <w:b/>
                <w:bCs/>
                <w:sz w:val="20"/>
                <w:lang w:val="es-GT" w:eastAsia="es-GT"/>
              </w:rPr>
            </w:pPr>
            <w:r w:rsidRPr="002D3BBB">
              <w:rPr>
                <w:b/>
                <w:bCs/>
                <w:sz w:val="20"/>
                <w:lang w:val="es-GT" w:eastAsia="es-GT"/>
              </w:rPr>
              <w:t>%</w:t>
            </w:r>
            <w:r w:rsidR="002D3BBB">
              <w:rPr>
                <w:b/>
                <w:bCs/>
                <w:sz w:val="20"/>
                <w:lang w:val="es-GT" w:eastAsia="es-GT"/>
              </w:rPr>
              <w:t xml:space="preserve"> de</w:t>
            </w:r>
          </w:p>
          <w:p w:rsidR="00011502" w:rsidRPr="002D3BBB" w:rsidRDefault="00011502" w:rsidP="00011502">
            <w:pPr>
              <w:jc w:val="center"/>
              <w:rPr>
                <w:b/>
                <w:bCs/>
                <w:sz w:val="20"/>
                <w:lang w:val="es-GT" w:eastAsia="es-GT"/>
              </w:rPr>
            </w:pPr>
            <w:r w:rsidRPr="002D3BBB">
              <w:rPr>
                <w:b/>
                <w:bCs/>
                <w:sz w:val="20"/>
                <w:lang w:val="es-GT" w:eastAsia="es-GT"/>
              </w:rPr>
              <w:t>Ejecución</w:t>
            </w:r>
          </w:p>
        </w:tc>
      </w:tr>
      <w:tr w:rsidR="00011502" w:rsidRPr="000455BD" w:rsidTr="002D3BBB">
        <w:trPr>
          <w:trHeight w:val="342"/>
        </w:trPr>
        <w:tc>
          <w:tcPr>
            <w:tcW w:w="4050" w:type="dxa"/>
            <w:vMerge/>
            <w:tcBorders>
              <w:top w:val="single" w:sz="8" w:space="0" w:color="auto"/>
              <w:left w:val="single" w:sz="8" w:space="0" w:color="auto"/>
              <w:bottom w:val="nil"/>
              <w:right w:val="nil"/>
            </w:tcBorders>
            <w:vAlign w:val="center"/>
            <w:hideMark/>
          </w:tcPr>
          <w:p w:rsidR="00011502" w:rsidRPr="000455BD" w:rsidRDefault="00011502" w:rsidP="00011502">
            <w:pPr>
              <w:rPr>
                <w:b/>
                <w:bCs/>
                <w:sz w:val="18"/>
                <w:lang w:val="es-GT" w:eastAsia="es-GT"/>
              </w:rPr>
            </w:pPr>
          </w:p>
        </w:tc>
        <w:tc>
          <w:tcPr>
            <w:tcW w:w="1185" w:type="dxa"/>
            <w:tcBorders>
              <w:top w:val="nil"/>
              <w:left w:val="nil"/>
              <w:bottom w:val="nil"/>
              <w:right w:val="nil"/>
            </w:tcBorders>
            <w:shd w:val="clear" w:color="000000" w:fill="8DB4E2"/>
            <w:vAlign w:val="center"/>
            <w:hideMark/>
          </w:tcPr>
          <w:p w:rsidR="00011502" w:rsidRPr="002D3BBB" w:rsidRDefault="00011502" w:rsidP="00011502">
            <w:pPr>
              <w:jc w:val="center"/>
              <w:rPr>
                <w:b/>
                <w:bCs/>
                <w:sz w:val="20"/>
                <w:lang w:val="es-GT" w:eastAsia="es-GT"/>
              </w:rPr>
            </w:pPr>
            <w:r w:rsidRPr="002D3BBB">
              <w:rPr>
                <w:b/>
                <w:bCs/>
                <w:sz w:val="20"/>
                <w:lang w:val="es-GT" w:eastAsia="es-GT"/>
              </w:rPr>
              <w:t>Aprobado</w:t>
            </w:r>
          </w:p>
        </w:tc>
        <w:tc>
          <w:tcPr>
            <w:tcW w:w="1276" w:type="dxa"/>
            <w:tcBorders>
              <w:top w:val="nil"/>
              <w:left w:val="nil"/>
              <w:bottom w:val="nil"/>
              <w:right w:val="nil"/>
            </w:tcBorders>
            <w:shd w:val="clear" w:color="000000" w:fill="8DB4E2"/>
            <w:vAlign w:val="center"/>
            <w:hideMark/>
          </w:tcPr>
          <w:p w:rsidR="00011502" w:rsidRPr="002D3BBB" w:rsidRDefault="00011502" w:rsidP="00011502">
            <w:pPr>
              <w:jc w:val="center"/>
              <w:rPr>
                <w:b/>
                <w:bCs/>
                <w:sz w:val="20"/>
                <w:lang w:val="es-GT" w:eastAsia="es-GT"/>
              </w:rPr>
            </w:pPr>
            <w:r w:rsidRPr="002D3BBB">
              <w:rPr>
                <w:b/>
                <w:bCs/>
                <w:sz w:val="20"/>
                <w:lang w:val="es-GT" w:eastAsia="es-GT"/>
              </w:rPr>
              <w:t>Ejecutado</w:t>
            </w:r>
          </w:p>
        </w:tc>
        <w:tc>
          <w:tcPr>
            <w:tcW w:w="1276" w:type="dxa"/>
            <w:vMerge/>
            <w:tcBorders>
              <w:top w:val="single" w:sz="8" w:space="0" w:color="auto"/>
              <w:left w:val="nil"/>
              <w:bottom w:val="nil"/>
              <w:right w:val="nil"/>
            </w:tcBorders>
            <w:vAlign w:val="center"/>
            <w:hideMark/>
          </w:tcPr>
          <w:p w:rsidR="00011502" w:rsidRPr="000455BD" w:rsidRDefault="00011502" w:rsidP="00011502">
            <w:pPr>
              <w:rPr>
                <w:b/>
                <w:bCs/>
                <w:sz w:val="18"/>
                <w:lang w:val="es-GT" w:eastAsia="es-GT"/>
              </w:rPr>
            </w:pPr>
          </w:p>
        </w:tc>
        <w:tc>
          <w:tcPr>
            <w:tcW w:w="1559" w:type="dxa"/>
            <w:vMerge/>
            <w:tcBorders>
              <w:top w:val="single" w:sz="8" w:space="0" w:color="auto"/>
              <w:left w:val="nil"/>
              <w:bottom w:val="nil"/>
              <w:right w:val="single" w:sz="8" w:space="0" w:color="auto"/>
            </w:tcBorders>
            <w:vAlign w:val="center"/>
            <w:hideMark/>
          </w:tcPr>
          <w:p w:rsidR="00011502" w:rsidRPr="000455BD" w:rsidRDefault="00011502" w:rsidP="00011502">
            <w:pPr>
              <w:rPr>
                <w:b/>
                <w:bCs/>
                <w:sz w:val="18"/>
                <w:lang w:val="es-GT" w:eastAsia="es-GT"/>
              </w:rPr>
            </w:pP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rPr>
                <w:b/>
                <w:bCs/>
                <w:sz w:val="18"/>
                <w:lang w:val="es-GT" w:eastAsia="es-GT"/>
              </w:rPr>
            </w:pPr>
            <w:r w:rsidRPr="000455BD">
              <w:rPr>
                <w:b/>
                <w:bCs/>
                <w:sz w:val="18"/>
                <w:lang w:val="es-GT" w:eastAsia="es-GT"/>
              </w:rPr>
              <w:t xml:space="preserve">Ingresos Totales </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68,547.4</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66,542.1</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2,005.3</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b/>
                <w:bCs/>
                <w:sz w:val="18"/>
                <w:lang w:val="es-GT" w:eastAsia="es-GT"/>
              </w:rPr>
            </w:pPr>
            <w:r w:rsidRPr="000455BD">
              <w:rPr>
                <w:b/>
                <w:bCs/>
                <w:sz w:val="18"/>
                <w:lang w:val="es-GT" w:eastAsia="es-GT"/>
              </w:rPr>
              <w:t>97.1%</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100" w:firstLine="180"/>
              <w:rPr>
                <w:sz w:val="18"/>
                <w:lang w:val="es-GT" w:eastAsia="es-GT"/>
              </w:rPr>
            </w:pPr>
            <w:r w:rsidRPr="000455BD">
              <w:rPr>
                <w:sz w:val="18"/>
                <w:lang w:val="es-GT" w:eastAsia="es-GT"/>
              </w:rPr>
              <w:t>Ingresos Corrientes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68,544.0</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66,538.5</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2,005.5</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97.1%</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2D3BBB">
            <w:pPr>
              <w:ind w:firstLineChars="200" w:firstLine="360"/>
              <w:rPr>
                <w:sz w:val="18"/>
                <w:lang w:val="es-GT" w:eastAsia="es-GT"/>
              </w:rPr>
            </w:pPr>
            <w:r w:rsidRPr="000455BD">
              <w:rPr>
                <w:sz w:val="18"/>
                <w:lang w:val="es-GT" w:eastAsia="es-GT"/>
              </w:rPr>
              <w:t>Ingresos Tributarios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64,027.7</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62,593.6</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1,434.1</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97.8%</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300" w:firstLine="540"/>
              <w:rPr>
                <w:sz w:val="18"/>
                <w:lang w:val="es-GT" w:eastAsia="es-GT"/>
              </w:rPr>
            </w:pPr>
            <w:r w:rsidRPr="000455BD">
              <w:rPr>
                <w:sz w:val="18"/>
                <w:lang w:val="es-GT" w:eastAsia="es-GT"/>
              </w:rPr>
              <w:t>Impuestos Directos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color w:val="000000"/>
                <w:sz w:val="18"/>
                <w:lang w:val="es-GT" w:eastAsia="es-GT"/>
              </w:rPr>
            </w:pPr>
            <w:r w:rsidRPr="000455BD">
              <w:rPr>
                <w:color w:val="000000"/>
                <w:sz w:val="18"/>
                <w:lang w:val="es-GT" w:eastAsia="es-GT"/>
              </w:rPr>
              <w:t>22,244.4</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21,972.0</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272.4</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98.8%</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300" w:firstLine="540"/>
              <w:rPr>
                <w:sz w:val="18"/>
                <w:lang w:val="es-GT" w:eastAsia="es-GT"/>
              </w:rPr>
            </w:pPr>
            <w:r w:rsidRPr="000455BD">
              <w:rPr>
                <w:sz w:val="18"/>
                <w:lang w:val="es-GT" w:eastAsia="es-GT"/>
              </w:rPr>
              <w:t>Impuestos Indirectos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41,783.3</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40,621.6</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1,161.8</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97.2%</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400" w:firstLine="720"/>
              <w:rPr>
                <w:sz w:val="18"/>
                <w:lang w:val="es-GT" w:eastAsia="es-GT"/>
              </w:rPr>
            </w:pPr>
            <w:r w:rsidRPr="000455BD">
              <w:rPr>
                <w:sz w:val="18"/>
                <w:lang w:val="es-GT" w:eastAsia="es-GT"/>
              </w:rPr>
              <w:t>Impuesto al Valor Agregado</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31,069.9</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29,920.0</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1,149.9</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96.3%</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200" w:firstLine="360"/>
              <w:rPr>
                <w:sz w:val="18"/>
                <w:lang w:val="es-GT" w:eastAsia="es-GT"/>
              </w:rPr>
            </w:pPr>
            <w:r w:rsidRPr="000455BD">
              <w:rPr>
                <w:sz w:val="18"/>
                <w:lang w:val="es-GT" w:eastAsia="es-GT"/>
              </w:rPr>
              <w:t xml:space="preserve">No Tributarios y Transferencias </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color w:val="000000"/>
                <w:sz w:val="18"/>
                <w:lang w:val="es-GT" w:eastAsia="es-GT"/>
              </w:rPr>
            </w:pPr>
            <w:r w:rsidRPr="000455BD">
              <w:rPr>
                <w:color w:val="000000"/>
                <w:sz w:val="18"/>
                <w:lang w:val="es-GT" w:eastAsia="es-GT"/>
              </w:rPr>
              <w:t>4,516.3</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3,944.9</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571.4</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87.3%</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100" w:firstLine="180"/>
              <w:rPr>
                <w:sz w:val="18"/>
                <w:lang w:val="es-GT" w:eastAsia="es-GT"/>
              </w:rPr>
            </w:pPr>
            <w:r w:rsidRPr="000455BD">
              <w:rPr>
                <w:sz w:val="18"/>
                <w:lang w:val="es-GT" w:eastAsia="es-GT"/>
              </w:rPr>
              <w:t>Ingresos de Capital</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3.4</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3.6</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-0.2</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105.8%</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rPr>
                <w:b/>
                <w:bCs/>
                <w:sz w:val="18"/>
                <w:lang w:val="es-GT" w:eastAsia="es-GT"/>
              </w:rPr>
            </w:pPr>
            <w:r w:rsidRPr="000455BD">
              <w:rPr>
                <w:b/>
                <w:bCs/>
                <w:sz w:val="18"/>
                <w:lang w:val="es-GT" w:eastAsia="es-GT"/>
              </w:rPr>
              <w:t>Gastos Totales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83,750.7</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79,836.5</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3,914.2</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b/>
                <w:bCs/>
                <w:sz w:val="18"/>
                <w:lang w:val="es-GT" w:eastAsia="es-GT"/>
              </w:rPr>
            </w:pPr>
            <w:r w:rsidRPr="000455BD">
              <w:rPr>
                <w:b/>
                <w:bCs/>
                <w:sz w:val="18"/>
                <w:lang w:val="es-GT" w:eastAsia="es-GT"/>
              </w:rPr>
              <w:t>95.3%</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100" w:firstLine="181"/>
              <w:rPr>
                <w:b/>
                <w:bCs/>
                <w:sz w:val="18"/>
                <w:lang w:val="es-GT" w:eastAsia="es-GT"/>
              </w:rPr>
            </w:pPr>
            <w:r w:rsidRPr="000455BD">
              <w:rPr>
                <w:b/>
                <w:bCs/>
                <w:sz w:val="18"/>
                <w:lang w:val="es-GT" w:eastAsia="es-GT"/>
              </w:rPr>
              <w:t>Gastos Corrientes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67,556.9</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63,550.8</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4,006.1</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b/>
                <w:bCs/>
                <w:sz w:val="18"/>
                <w:lang w:val="es-GT" w:eastAsia="es-GT"/>
              </w:rPr>
            </w:pPr>
            <w:r w:rsidRPr="000455BD">
              <w:rPr>
                <w:b/>
                <w:bCs/>
                <w:sz w:val="18"/>
                <w:lang w:val="es-GT" w:eastAsia="es-GT"/>
              </w:rPr>
              <w:t>94.1%</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200" w:firstLine="360"/>
              <w:rPr>
                <w:sz w:val="18"/>
                <w:lang w:val="es-GT" w:eastAsia="es-GT"/>
              </w:rPr>
            </w:pPr>
            <w:r w:rsidRPr="000455BD">
              <w:rPr>
                <w:sz w:val="18"/>
                <w:lang w:val="es-GT" w:eastAsia="es-GT"/>
              </w:rPr>
              <w:t>Intereses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color w:val="000000"/>
                <w:sz w:val="18"/>
                <w:lang w:val="es-GT" w:eastAsia="es-GT"/>
              </w:rPr>
            </w:pPr>
            <w:r w:rsidRPr="000455BD">
              <w:rPr>
                <w:color w:val="000000"/>
                <w:sz w:val="18"/>
                <w:lang w:val="es-GT" w:eastAsia="es-GT"/>
              </w:rPr>
              <w:t>9,446.7</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9,689.9</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-243.2</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102.6%</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2D3BBB">
            <w:pPr>
              <w:ind w:firstLineChars="300" w:firstLine="540"/>
              <w:rPr>
                <w:sz w:val="18"/>
                <w:lang w:val="es-GT" w:eastAsia="es-GT"/>
              </w:rPr>
            </w:pPr>
            <w:r w:rsidRPr="000455BD">
              <w:rPr>
                <w:sz w:val="18"/>
                <w:lang w:val="es-GT" w:eastAsia="es-GT"/>
              </w:rPr>
              <w:t xml:space="preserve">Deuda </w:t>
            </w:r>
            <w:r w:rsidR="002D3BBB">
              <w:rPr>
                <w:sz w:val="18"/>
                <w:lang w:val="es-GT" w:eastAsia="es-GT"/>
              </w:rPr>
              <w:t>I</w:t>
            </w:r>
            <w:r w:rsidRPr="000455BD">
              <w:rPr>
                <w:sz w:val="18"/>
                <w:lang w:val="es-GT" w:eastAsia="es-GT"/>
              </w:rPr>
              <w:t>nterna</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color w:val="000000"/>
                <w:sz w:val="18"/>
                <w:lang w:val="es-GT" w:eastAsia="es-GT"/>
              </w:rPr>
            </w:pPr>
            <w:r w:rsidRPr="000455BD">
              <w:rPr>
                <w:color w:val="000000"/>
                <w:sz w:val="18"/>
                <w:lang w:val="es-GT" w:eastAsia="es-GT"/>
              </w:rPr>
              <w:t>6,077.0</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6,515.2</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-438.2</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107.2%</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2D3BBB">
            <w:pPr>
              <w:ind w:firstLineChars="300" w:firstLine="540"/>
              <w:rPr>
                <w:sz w:val="18"/>
                <w:lang w:val="es-GT" w:eastAsia="es-GT"/>
              </w:rPr>
            </w:pPr>
            <w:r w:rsidRPr="000455BD">
              <w:rPr>
                <w:sz w:val="18"/>
                <w:lang w:val="es-GT" w:eastAsia="es-GT"/>
              </w:rPr>
              <w:t xml:space="preserve">Deuda </w:t>
            </w:r>
            <w:r w:rsidR="002D3BBB">
              <w:rPr>
                <w:sz w:val="18"/>
                <w:lang w:val="es-GT" w:eastAsia="es-GT"/>
              </w:rPr>
              <w:t>E</w:t>
            </w:r>
            <w:r w:rsidRPr="000455BD">
              <w:rPr>
                <w:sz w:val="18"/>
                <w:lang w:val="es-GT" w:eastAsia="es-GT"/>
              </w:rPr>
              <w:t>xterna</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color w:val="000000"/>
                <w:sz w:val="18"/>
                <w:lang w:val="es-GT" w:eastAsia="es-GT"/>
              </w:rPr>
            </w:pPr>
            <w:r w:rsidRPr="000455BD">
              <w:rPr>
                <w:color w:val="000000"/>
                <w:sz w:val="18"/>
                <w:lang w:val="es-GT" w:eastAsia="es-GT"/>
              </w:rPr>
              <w:t>3,369.6</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3,174.7</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195.0</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94.2%</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400" w:firstLine="720"/>
              <w:rPr>
                <w:sz w:val="18"/>
                <w:lang w:val="es-GT" w:eastAsia="es-GT"/>
              </w:rPr>
            </w:pPr>
            <w:r w:rsidRPr="000455BD">
              <w:rPr>
                <w:sz w:val="18"/>
                <w:lang w:val="es-GT" w:eastAsia="es-GT"/>
              </w:rPr>
              <w:t>Préstamos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color w:val="000000"/>
                <w:sz w:val="18"/>
                <w:lang w:val="es-GT" w:eastAsia="es-GT"/>
              </w:rPr>
            </w:pPr>
            <w:r w:rsidRPr="000455BD">
              <w:rPr>
                <w:color w:val="000000"/>
                <w:sz w:val="18"/>
                <w:lang w:val="es-GT" w:eastAsia="es-GT"/>
              </w:rPr>
              <w:t>1,241.5</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1,700.6</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-459.1</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137.0%</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400" w:firstLine="720"/>
              <w:rPr>
                <w:sz w:val="18"/>
                <w:lang w:val="es-GT" w:eastAsia="es-GT"/>
              </w:rPr>
            </w:pPr>
            <w:r w:rsidRPr="000455BD">
              <w:rPr>
                <w:sz w:val="18"/>
                <w:lang w:val="es-GT" w:eastAsia="es-GT"/>
              </w:rPr>
              <w:t>Bonos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color w:val="000000"/>
                <w:sz w:val="18"/>
                <w:lang w:val="es-GT" w:eastAsia="es-GT"/>
              </w:rPr>
            </w:pPr>
            <w:r w:rsidRPr="000455BD">
              <w:rPr>
                <w:color w:val="000000"/>
                <w:sz w:val="18"/>
                <w:lang w:val="es-GT" w:eastAsia="es-GT"/>
              </w:rPr>
              <w:t>2,128.1</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1,474.0</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654.1</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69.3%</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100" w:firstLine="181"/>
              <w:rPr>
                <w:b/>
                <w:bCs/>
                <w:sz w:val="18"/>
                <w:lang w:val="es-GT" w:eastAsia="es-GT"/>
              </w:rPr>
            </w:pPr>
            <w:r w:rsidRPr="000455BD">
              <w:rPr>
                <w:b/>
                <w:bCs/>
                <w:sz w:val="18"/>
                <w:lang w:val="es-GT" w:eastAsia="es-GT"/>
              </w:rPr>
              <w:t>Gastos de Capital</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16,193.8</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16,285.7</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-91.9</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b/>
                <w:bCs/>
                <w:sz w:val="18"/>
                <w:lang w:val="es-GT" w:eastAsia="es-GT"/>
              </w:rPr>
            </w:pPr>
            <w:r w:rsidRPr="000455BD">
              <w:rPr>
                <w:b/>
                <w:bCs/>
                <w:sz w:val="18"/>
                <w:lang w:val="es-GT" w:eastAsia="es-GT"/>
              </w:rPr>
              <w:t>100.6%</w:t>
            </w:r>
          </w:p>
        </w:tc>
      </w:tr>
      <w:tr w:rsidR="00011502" w:rsidRPr="000455BD" w:rsidTr="002D3BBB">
        <w:trPr>
          <w:trHeight w:val="299"/>
        </w:trPr>
        <w:tc>
          <w:tcPr>
            <w:tcW w:w="4050" w:type="dxa"/>
            <w:tcBorders>
              <w:top w:val="nil"/>
              <w:left w:val="single" w:sz="8" w:space="0" w:color="auto"/>
              <w:bottom w:val="nil"/>
              <w:right w:val="nil"/>
            </w:tcBorders>
            <w:shd w:val="clear" w:color="000000" w:fill="95B3D7"/>
            <w:noWrap/>
            <w:vAlign w:val="bottom"/>
            <w:hideMark/>
          </w:tcPr>
          <w:p w:rsidR="00011502" w:rsidRPr="000455BD" w:rsidRDefault="00011502" w:rsidP="00011502">
            <w:pPr>
              <w:rPr>
                <w:b/>
                <w:bCs/>
                <w:sz w:val="18"/>
                <w:lang w:val="es-GT" w:eastAsia="es-GT"/>
              </w:rPr>
            </w:pPr>
            <w:r w:rsidRPr="000455BD">
              <w:rPr>
                <w:b/>
                <w:bCs/>
                <w:sz w:val="18"/>
                <w:lang w:val="es-GT" w:eastAsia="es-GT"/>
              </w:rPr>
              <w:t>Resultado en Cuenta Corriente</w:t>
            </w:r>
          </w:p>
        </w:tc>
        <w:tc>
          <w:tcPr>
            <w:tcW w:w="1185" w:type="dxa"/>
            <w:tcBorders>
              <w:top w:val="nil"/>
              <w:left w:val="nil"/>
              <w:bottom w:val="nil"/>
              <w:right w:val="nil"/>
            </w:tcBorders>
            <w:shd w:val="clear" w:color="000000" w:fill="95B3D7"/>
            <w:noWrap/>
            <w:vAlign w:val="bottom"/>
            <w:hideMark/>
          </w:tcPr>
          <w:p w:rsidR="00011502" w:rsidRPr="000455BD" w:rsidRDefault="00011502" w:rsidP="00011502">
            <w:pPr>
              <w:jc w:val="right"/>
              <w:rPr>
                <w:b/>
                <w:bCs/>
                <w:color w:val="000000"/>
                <w:sz w:val="18"/>
                <w:lang w:val="es-GT" w:eastAsia="es-GT"/>
              </w:rPr>
            </w:pPr>
            <w:r w:rsidRPr="000455BD">
              <w:rPr>
                <w:b/>
                <w:bCs/>
                <w:color w:val="000000"/>
                <w:sz w:val="18"/>
                <w:lang w:val="es-GT" w:eastAsia="es-GT"/>
              </w:rPr>
              <w:t>987.2</w:t>
            </w:r>
          </w:p>
        </w:tc>
        <w:tc>
          <w:tcPr>
            <w:tcW w:w="1276" w:type="dxa"/>
            <w:tcBorders>
              <w:top w:val="nil"/>
              <w:left w:val="nil"/>
              <w:bottom w:val="nil"/>
              <w:right w:val="nil"/>
            </w:tcBorders>
            <w:shd w:val="clear" w:color="000000" w:fill="95B3D7"/>
            <w:noWrap/>
            <w:vAlign w:val="bottom"/>
            <w:hideMark/>
          </w:tcPr>
          <w:p w:rsidR="00011502" w:rsidRPr="000455BD" w:rsidRDefault="00011502" w:rsidP="00011502">
            <w:pPr>
              <w:jc w:val="right"/>
              <w:rPr>
                <w:b/>
                <w:bCs/>
                <w:sz w:val="18"/>
                <w:lang w:val="es-GT" w:eastAsia="es-GT"/>
              </w:rPr>
            </w:pPr>
            <w:r w:rsidRPr="000455BD">
              <w:rPr>
                <w:b/>
                <w:bCs/>
                <w:sz w:val="18"/>
                <w:lang w:val="es-GT" w:eastAsia="es-GT"/>
              </w:rPr>
              <w:t>2,987.7</w:t>
            </w:r>
          </w:p>
        </w:tc>
        <w:tc>
          <w:tcPr>
            <w:tcW w:w="1276" w:type="dxa"/>
            <w:tcBorders>
              <w:top w:val="nil"/>
              <w:left w:val="nil"/>
              <w:bottom w:val="nil"/>
              <w:right w:val="nil"/>
            </w:tcBorders>
            <w:shd w:val="clear" w:color="000000" w:fill="95B3D7"/>
            <w:noWrap/>
            <w:vAlign w:val="bottom"/>
            <w:hideMark/>
          </w:tcPr>
          <w:p w:rsidR="00011502" w:rsidRPr="000455BD" w:rsidRDefault="00011502" w:rsidP="00011502">
            <w:pPr>
              <w:jc w:val="right"/>
              <w:rPr>
                <w:b/>
                <w:bCs/>
                <w:sz w:val="18"/>
                <w:lang w:val="es-GT" w:eastAsia="es-GT"/>
              </w:rPr>
            </w:pPr>
            <w:r w:rsidRPr="000455BD">
              <w:rPr>
                <w:b/>
                <w:bCs/>
                <w:sz w:val="18"/>
                <w:lang w:val="es-GT" w:eastAsia="es-GT"/>
              </w:rPr>
              <w:t>-2,000.6</w:t>
            </w:r>
          </w:p>
        </w:tc>
        <w:tc>
          <w:tcPr>
            <w:tcW w:w="1559" w:type="dxa"/>
            <w:tcBorders>
              <w:top w:val="nil"/>
              <w:left w:val="nil"/>
              <w:bottom w:val="nil"/>
              <w:right w:val="single" w:sz="8" w:space="0" w:color="auto"/>
            </w:tcBorders>
            <w:shd w:val="clear" w:color="000000" w:fill="95B3D7"/>
            <w:noWrap/>
            <w:vAlign w:val="bottom"/>
            <w:hideMark/>
          </w:tcPr>
          <w:p w:rsidR="00011502" w:rsidRPr="000455BD" w:rsidRDefault="00011502" w:rsidP="00011502">
            <w:pPr>
              <w:jc w:val="center"/>
              <w:rPr>
                <w:b/>
                <w:bCs/>
                <w:sz w:val="18"/>
                <w:lang w:val="es-GT" w:eastAsia="es-GT"/>
              </w:rPr>
            </w:pPr>
            <w:r w:rsidRPr="000455BD">
              <w:rPr>
                <w:b/>
                <w:bCs/>
                <w:sz w:val="18"/>
                <w:lang w:val="es-GT" w:eastAsia="es-GT"/>
              </w:rPr>
              <w:t>302.7%</w:t>
            </w:r>
          </w:p>
        </w:tc>
      </w:tr>
      <w:tr w:rsidR="00011502" w:rsidRPr="000455BD" w:rsidTr="002D3BBB">
        <w:trPr>
          <w:trHeight w:val="299"/>
        </w:trPr>
        <w:tc>
          <w:tcPr>
            <w:tcW w:w="4050" w:type="dxa"/>
            <w:tcBorders>
              <w:top w:val="nil"/>
              <w:left w:val="single" w:sz="8" w:space="0" w:color="auto"/>
              <w:bottom w:val="nil"/>
              <w:right w:val="nil"/>
            </w:tcBorders>
            <w:shd w:val="clear" w:color="000000" w:fill="95B3D7"/>
            <w:noWrap/>
            <w:vAlign w:val="bottom"/>
            <w:hideMark/>
          </w:tcPr>
          <w:p w:rsidR="00011502" w:rsidRPr="000455BD" w:rsidRDefault="00011502" w:rsidP="00011502">
            <w:pPr>
              <w:rPr>
                <w:b/>
                <w:bCs/>
                <w:sz w:val="18"/>
                <w:lang w:val="es-GT" w:eastAsia="es-GT"/>
              </w:rPr>
            </w:pPr>
            <w:r w:rsidRPr="000455BD">
              <w:rPr>
                <w:b/>
                <w:bCs/>
                <w:sz w:val="18"/>
                <w:lang w:val="es-GT" w:eastAsia="es-GT"/>
              </w:rPr>
              <w:t>Resultado Primario</w:t>
            </w:r>
          </w:p>
        </w:tc>
        <w:tc>
          <w:tcPr>
            <w:tcW w:w="1185" w:type="dxa"/>
            <w:tcBorders>
              <w:top w:val="nil"/>
              <w:left w:val="nil"/>
              <w:bottom w:val="nil"/>
              <w:right w:val="nil"/>
            </w:tcBorders>
            <w:shd w:val="clear" w:color="000000" w:fill="95B3D7"/>
            <w:noWrap/>
            <w:vAlign w:val="bottom"/>
            <w:hideMark/>
          </w:tcPr>
          <w:p w:rsidR="00011502" w:rsidRPr="000455BD" w:rsidRDefault="00011502" w:rsidP="00011502">
            <w:pPr>
              <w:jc w:val="right"/>
              <w:rPr>
                <w:b/>
                <w:bCs/>
                <w:color w:val="000000"/>
                <w:sz w:val="18"/>
                <w:lang w:val="es-GT" w:eastAsia="es-GT"/>
              </w:rPr>
            </w:pPr>
            <w:r w:rsidRPr="000455BD">
              <w:rPr>
                <w:b/>
                <w:bCs/>
                <w:color w:val="000000"/>
                <w:sz w:val="18"/>
                <w:lang w:val="es-GT" w:eastAsia="es-GT"/>
              </w:rPr>
              <w:t>-5,756.6</w:t>
            </w:r>
          </w:p>
        </w:tc>
        <w:tc>
          <w:tcPr>
            <w:tcW w:w="1276" w:type="dxa"/>
            <w:tcBorders>
              <w:top w:val="nil"/>
              <w:left w:val="nil"/>
              <w:bottom w:val="nil"/>
              <w:right w:val="nil"/>
            </w:tcBorders>
            <w:shd w:val="clear" w:color="000000" w:fill="95B3D7"/>
            <w:noWrap/>
            <w:vAlign w:val="bottom"/>
            <w:hideMark/>
          </w:tcPr>
          <w:p w:rsidR="00011502" w:rsidRPr="000455BD" w:rsidRDefault="00011502" w:rsidP="00011502">
            <w:pPr>
              <w:jc w:val="right"/>
              <w:rPr>
                <w:b/>
                <w:bCs/>
                <w:sz w:val="18"/>
                <w:lang w:val="es-GT" w:eastAsia="es-GT"/>
              </w:rPr>
            </w:pPr>
            <w:r w:rsidRPr="000455BD">
              <w:rPr>
                <w:b/>
                <w:bCs/>
                <w:sz w:val="18"/>
                <w:lang w:val="es-GT" w:eastAsia="es-GT"/>
              </w:rPr>
              <w:t>-3,604.5</w:t>
            </w:r>
          </w:p>
        </w:tc>
        <w:tc>
          <w:tcPr>
            <w:tcW w:w="1276" w:type="dxa"/>
            <w:tcBorders>
              <w:top w:val="nil"/>
              <w:left w:val="nil"/>
              <w:bottom w:val="nil"/>
              <w:right w:val="nil"/>
            </w:tcBorders>
            <w:shd w:val="clear" w:color="000000" w:fill="95B3D7"/>
            <w:noWrap/>
            <w:vAlign w:val="bottom"/>
            <w:hideMark/>
          </w:tcPr>
          <w:p w:rsidR="00011502" w:rsidRPr="000455BD" w:rsidRDefault="00011502" w:rsidP="00011502">
            <w:pPr>
              <w:jc w:val="right"/>
              <w:rPr>
                <w:b/>
                <w:bCs/>
                <w:sz w:val="18"/>
                <w:lang w:val="es-GT" w:eastAsia="es-GT"/>
              </w:rPr>
            </w:pPr>
            <w:r w:rsidRPr="000455BD">
              <w:rPr>
                <w:b/>
                <w:bCs/>
                <w:sz w:val="18"/>
                <w:lang w:val="es-GT" w:eastAsia="es-GT"/>
              </w:rPr>
              <w:t>-2,152.1</w:t>
            </w:r>
          </w:p>
        </w:tc>
        <w:tc>
          <w:tcPr>
            <w:tcW w:w="1559" w:type="dxa"/>
            <w:tcBorders>
              <w:top w:val="nil"/>
              <w:left w:val="nil"/>
              <w:bottom w:val="nil"/>
              <w:right w:val="single" w:sz="8" w:space="0" w:color="auto"/>
            </w:tcBorders>
            <w:shd w:val="clear" w:color="000000" w:fill="95B3D7"/>
            <w:noWrap/>
            <w:vAlign w:val="bottom"/>
            <w:hideMark/>
          </w:tcPr>
          <w:p w:rsidR="00011502" w:rsidRPr="000455BD" w:rsidRDefault="00011502" w:rsidP="00011502">
            <w:pPr>
              <w:jc w:val="center"/>
              <w:rPr>
                <w:b/>
                <w:bCs/>
                <w:sz w:val="18"/>
                <w:lang w:val="es-GT" w:eastAsia="es-GT"/>
              </w:rPr>
            </w:pPr>
            <w:r w:rsidRPr="000455BD">
              <w:rPr>
                <w:b/>
                <w:bCs/>
                <w:sz w:val="18"/>
                <w:lang w:val="es-GT" w:eastAsia="es-GT"/>
              </w:rPr>
              <w:t>62.6%</w:t>
            </w:r>
          </w:p>
        </w:tc>
      </w:tr>
      <w:tr w:rsidR="00011502" w:rsidRPr="000455BD" w:rsidTr="002D3BBB">
        <w:trPr>
          <w:trHeight w:val="299"/>
        </w:trPr>
        <w:tc>
          <w:tcPr>
            <w:tcW w:w="4050" w:type="dxa"/>
            <w:tcBorders>
              <w:top w:val="nil"/>
              <w:left w:val="single" w:sz="8" w:space="0" w:color="auto"/>
              <w:bottom w:val="nil"/>
              <w:right w:val="nil"/>
            </w:tcBorders>
            <w:shd w:val="clear" w:color="000000" w:fill="95B3D7"/>
            <w:noWrap/>
            <w:vAlign w:val="bottom"/>
            <w:hideMark/>
          </w:tcPr>
          <w:p w:rsidR="00011502" w:rsidRPr="000455BD" w:rsidRDefault="00011502" w:rsidP="002D3BBB">
            <w:pPr>
              <w:rPr>
                <w:b/>
                <w:bCs/>
                <w:sz w:val="18"/>
                <w:lang w:val="es-GT" w:eastAsia="es-GT"/>
              </w:rPr>
            </w:pPr>
            <w:r w:rsidRPr="000455BD">
              <w:rPr>
                <w:b/>
                <w:bCs/>
                <w:sz w:val="18"/>
                <w:lang w:val="es-GT" w:eastAsia="es-GT"/>
              </w:rPr>
              <w:t>Resultado Presupuesta</w:t>
            </w:r>
            <w:r w:rsidR="002D3BBB">
              <w:rPr>
                <w:b/>
                <w:bCs/>
                <w:sz w:val="18"/>
                <w:lang w:val="es-GT" w:eastAsia="es-GT"/>
              </w:rPr>
              <w:t>rio</w:t>
            </w:r>
          </w:p>
        </w:tc>
        <w:tc>
          <w:tcPr>
            <w:tcW w:w="1185" w:type="dxa"/>
            <w:tcBorders>
              <w:top w:val="nil"/>
              <w:left w:val="nil"/>
              <w:bottom w:val="nil"/>
              <w:right w:val="nil"/>
            </w:tcBorders>
            <w:shd w:val="clear" w:color="000000" w:fill="95B3D7"/>
            <w:noWrap/>
            <w:vAlign w:val="bottom"/>
            <w:hideMark/>
          </w:tcPr>
          <w:p w:rsidR="00011502" w:rsidRPr="000455BD" w:rsidRDefault="00011502" w:rsidP="00011502">
            <w:pPr>
              <w:jc w:val="right"/>
              <w:rPr>
                <w:b/>
                <w:bCs/>
                <w:sz w:val="18"/>
                <w:lang w:val="es-GT" w:eastAsia="es-GT"/>
              </w:rPr>
            </w:pPr>
            <w:r w:rsidRPr="000455BD">
              <w:rPr>
                <w:b/>
                <w:bCs/>
                <w:sz w:val="18"/>
                <w:lang w:val="es-GT" w:eastAsia="es-GT"/>
              </w:rPr>
              <w:t>-15,203.3</w:t>
            </w:r>
          </w:p>
        </w:tc>
        <w:tc>
          <w:tcPr>
            <w:tcW w:w="1276" w:type="dxa"/>
            <w:tcBorders>
              <w:top w:val="nil"/>
              <w:left w:val="nil"/>
              <w:bottom w:val="nil"/>
              <w:right w:val="nil"/>
            </w:tcBorders>
            <w:shd w:val="clear" w:color="000000" w:fill="95B3D7"/>
            <w:noWrap/>
            <w:vAlign w:val="bottom"/>
            <w:hideMark/>
          </w:tcPr>
          <w:p w:rsidR="00011502" w:rsidRPr="000455BD" w:rsidRDefault="00011502" w:rsidP="00011502">
            <w:pPr>
              <w:jc w:val="right"/>
              <w:rPr>
                <w:b/>
                <w:bCs/>
                <w:sz w:val="18"/>
                <w:lang w:val="es-GT" w:eastAsia="es-GT"/>
              </w:rPr>
            </w:pPr>
            <w:r w:rsidRPr="000455BD">
              <w:rPr>
                <w:b/>
                <w:bCs/>
                <w:sz w:val="18"/>
                <w:lang w:val="es-GT" w:eastAsia="es-GT"/>
              </w:rPr>
              <w:t>-13,294.4</w:t>
            </w:r>
          </w:p>
        </w:tc>
        <w:tc>
          <w:tcPr>
            <w:tcW w:w="1276" w:type="dxa"/>
            <w:tcBorders>
              <w:top w:val="nil"/>
              <w:left w:val="nil"/>
              <w:bottom w:val="nil"/>
              <w:right w:val="nil"/>
            </w:tcBorders>
            <w:shd w:val="clear" w:color="000000" w:fill="95B3D7"/>
            <w:noWrap/>
            <w:vAlign w:val="bottom"/>
            <w:hideMark/>
          </w:tcPr>
          <w:p w:rsidR="00011502" w:rsidRPr="000455BD" w:rsidRDefault="00011502" w:rsidP="00011502">
            <w:pPr>
              <w:jc w:val="right"/>
              <w:rPr>
                <w:b/>
                <w:bCs/>
                <w:sz w:val="18"/>
                <w:lang w:val="es-GT" w:eastAsia="es-GT"/>
              </w:rPr>
            </w:pPr>
            <w:r w:rsidRPr="000455BD">
              <w:rPr>
                <w:b/>
                <w:bCs/>
                <w:sz w:val="18"/>
                <w:lang w:val="es-GT" w:eastAsia="es-GT"/>
              </w:rPr>
              <w:t>-1,908.9</w:t>
            </w:r>
          </w:p>
        </w:tc>
        <w:tc>
          <w:tcPr>
            <w:tcW w:w="1559" w:type="dxa"/>
            <w:tcBorders>
              <w:top w:val="nil"/>
              <w:left w:val="nil"/>
              <w:bottom w:val="nil"/>
              <w:right w:val="single" w:sz="8" w:space="0" w:color="auto"/>
            </w:tcBorders>
            <w:shd w:val="clear" w:color="000000" w:fill="95B3D7"/>
            <w:noWrap/>
            <w:vAlign w:val="bottom"/>
            <w:hideMark/>
          </w:tcPr>
          <w:p w:rsidR="00011502" w:rsidRPr="000455BD" w:rsidRDefault="00011502" w:rsidP="00011502">
            <w:pPr>
              <w:jc w:val="center"/>
              <w:rPr>
                <w:b/>
                <w:bCs/>
                <w:sz w:val="18"/>
                <w:lang w:val="es-GT" w:eastAsia="es-GT"/>
              </w:rPr>
            </w:pPr>
            <w:r w:rsidRPr="000455BD">
              <w:rPr>
                <w:b/>
                <w:bCs/>
                <w:sz w:val="18"/>
                <w:lang w:val="es-GT" w:eastAsia="es-GT"/>
              </w:rPr>
              <w:t>87.4%</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rPr>
                <w:sz w:val="18"/>
                <w:lang w:val="es-GT" w:eastAsia="es-GT"/>
              </w:rPr>
            </w:pPr>
            <w:r w:rsidRPr="000455BD">
              <w:rPr>
                <w:sz w:val="18"/>
                <w:lang w:val="es-GT" w:eastAsia="es-GT"/>
              </w:rPr>
              <w:t>Financiamiento Total</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15,203.3</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13,294.4</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1,908.9</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87.4%</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100" w:firstLine="181"/>
              <w:rPr>
                <w:b/>
                <w:bCs/>
                <w:sz w:val="18"/>
                <w:lang w:val="es-GT" w:eastAsia="es-GT"/>
              </w:rPr>
            </w:pPr>
            <w:r w:rsidRPr="000455BD">
              <w:rPr>
                <w:b/>
                <w:bCs/>
                <w:sz w:val="18"/>
                <w:lang w:val="es-GT" w:eastAsia="es-GT"/>
              </w:rPr>
              <w:t>Financiamiento Externo Neto</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-1,578.4</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6,913.2</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-8,491.7</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b/>
                <w:bCs/>
                <w:sz w:val="18"/>
                <w:lang w:val="es-GT" w:eastAsia="es-GT"/>
              </w:rPr>
            </w:pPr>
            <w:r w:rsidRPr="000455BD">
              <w:rPr>
                <w:b/>
                <w:bCs/>
                <w:sz w:val="18"/>
                <w:lang w:val="es-GT" w:eastAsia="es-GT"/>
              </w:rPr>
              <w:t>-438.0%</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200" w:firstLine="360"/>
              <w:rPr>
                <w:sz w:val="18"/>
                <w:lang w:val="es-GT" w:eastAsia="es-GT"/>
              </w:rPr>
            </w:pPr>
            <w:r w:rsidRPr="000455BD">
              <w:rPr>
                <w:sz w:val="18"/>
                <w:lang w:val="es-GT" w:eastAsia="es-GT"/>
              </w:rPr>
              <w:t>Préstamos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-1,578.4</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-2,354.0</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775.6</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149.1%</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300" w:firstLine="540"/>
              <w:rPr>
                <w:sz w:val="18"/>
                <w:lang w:val="es-GT" w:eastAsia="es-GT"/>
              </w:rPr>
            </w:pPr>
            <w:r w:rsidRPr="000455BD">
              <w:rPr>
                <w:sz w:val="18"/>
                <w:lang w:val="es-GT" w:eastAsia="es-GT"/>
              </w:rPr>
              <w:t xml:space="preserve">Desembolsos </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1,592.6</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625.3</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967.3</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39.3%</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300" w:firstLine="540"/>
              <w:rPr>
                <w:sz w:val="18"/>
                <w:lang w:val="es-GT" w:eastAsia="es-GT"/>
              </w:rPr>
            </w:pPr>
            <w:r w:rsidRPr="000455BD">
              <w:rPr>
                <w:sz w:val="18"/>
                <w:lang w:val="es-GT" w:eastAsia="es-GT"/>
              </w:rPr>
              <w:t>Amortizaciones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3,171.0</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2,979.3</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191.7</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94.0%</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200" w:firstLine="360"/>
              <w:rPr>
                <w:sz w:val="18"/>
                <w:lang w:val="es-GT" w:eastAsia="es-GT"/>
              </w:rPr>
            </w:pPr>
            <w:r w:rsidRPr="000455BD">
              <w:rPr>
                <w:sz w:val="18"/>
                <w:lang w:val="es-GT" w:eastAsia="es-GT"/>
              </w:rPr>
              <w:t>Eurobonos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0.0</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9,267.2</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-9,267.2</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color w:val="FFFFFF"/>
                <w:sz w:val="18"/>
                <w:lang w:val="es-GT" w:eastAsia="es-GT"/>
              </w:rPr>
            </w:pPr>
            <w:r w:rsidRPr="000455BD">
              <w:rPr>
                <w:color w:val="FFFFFF"/>
                <w:sz w:val="18"/>
                <w:lang w:val="es-GT" w:eastAsia="es-GT"/>
              </w:rPr>
              <w:t>#¡DIV/0!</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011502">
            <w:pPr>
              <w:ind w:firstLineChars="100" w:firstLine="181"/>
              <w:rPr>
                <w:b/>
                <w:bCs/>
                <w:sz w:val="18"/>
                <w:lang w:val="es-GT" w:eastAsia="es-GT"/>
              </w:rPr>
            </w:pPr>
            <w:r w:rsidRPr="000455BD">
              <w:rPr>
                <w:b/>
                <w:bCs/>
                <w:sz w:val="18"/>
                <w:lang w:val="es-GT" w:eastAsia="es-GT"/>
              </w:rPr>
              <w:t>Financiamiento Interno Neto</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16,781.7</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6,381.2</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b/>
                <w:bCs/>
                <w:sz w:val="18"/>
                <w:lang w:val="es-GT" w:eastAsia="es-GT"/>
              </w:rPr>
            </w:pPr>
            <w:r w:rsidRPr="000455BD">
              <w:rPr>
                <w:b/>
                <w:bCs/>
                <w:sz w:val="18"/>
                <w:lang w:val="es-GT" w:eastAsia="es-GT"/>
              </w:rPr>
              <w:t>10,400.5</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b/>
                <w:bCs/>
                <w:sz w:val="18"/>
                <w:lang w:val="es-GT" w:eastAsia="es-GT"/>
              </w:rPr>
            </w:pPr>
            <w:r w:rsidRPr="000455BD">
              <w:rPr>
                <w:b/>
                <w:bCs/>
                <w:sz w:val="18"/>
                <w:lang w:val="es-GT" w:eastAsia="es-GT"/>
              </w:rPr>
              <w:t>38.0%</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center"/>
            <w:hideMark/>
          </w:tcPr>
          <w:p w:rsidR="00011502" w:rsidRPr="000455BD" w:rsidRDefault="00011502" w:rsidP="00011502">
            <w:pPr>
              <w:rPr>
                <w:sz w:val="18"/>
                <w:lang w:val="es-GT" w:eastAsia="es-GT"/>
              </w:rPr>
            </w:pPr>
            <w:r w:rsidRPr="000455BD">
              <w:rPr>
                <w:sz w:val="18"/>
                <w:lang w:val="es-GT" w:eastAsia="es-GT"/>
              </w:rPr>
              <w:t xml:space="preserve">Negociación Neta  </w:t>
            </w:r>
          </w:p>
        </w:tc>
        <w:tc>
          <w:tcPr>
            <w:tcW w:w="1185" w:type="dxa"/>
            <w:tcBorders>
              <w:top w:val="nil"/>
              <w:left w:val="nil"/>
              <w:bottom w:val="nil"/>
              <w:right w:val="nil"/>
            </w:tcBorders>
            <w:shd w:val="clear" w:color="000000" w:fill="FFFFFF"/>
            <w:noWrap/>
            <w:vAlign w:val="center"/>
            <w:hideMark/>
          </w:tcPr>
          <w:p w:rsidR="00011502" w:rsidRPr="000455BD" w:rsidRDefault="00011502" w:rsidP="00011502">
            <w:pPr>
              <w:jc w:val="right"/>
              <w:rPr>
                <w:sz w:val="18"/>
                <w:lang w:val="es-GT" w:eastAsia="es-GT"/>
              </w:rPr>
            </w:pPr>
            <w:r w:rsidRPr="000455BD">
              <w:rPr>
                <w:sz w:val="18"/>
                <w:lang w:val="es-GT" w:eastAsia="es-GT"/>
              </w:rPr>
              <w:t>14,207.6</w:t>
            </w:r>
          </w:p>
        </w:tc>
        <w:tc>
          <w:tcPr>
            <w:tcW w:w="1276" w:type="dxa"/>
            <w:tcBorders>
              <w:top w:val="nil"/>
              <w:left w:val="nil"/>
              <w:bottom w:val="nil"/>
              <w:right w:val="nil"/>
            </w:tcBorders>
            <w:shd w:val="clear" w:color="000000" w:fill="FFFFFF"/>
            <w:noWrap/>
            <w:vAlign w:val="center"/>
            <w:hideMark/>
          </w:tcPr>
          <w:p w:rsidR="00011502" w:rsidRPr="000455BD" w:rsidRDefault="00011502" w:rsidP="00011502">
            <w:pPr>
              <w:jc w:val="right"/>
              <w:rPr>
                <w:sz w:val="18"/>
                <w:lang w:val="es-GT" w:eastAsia="es-GT"/>
              </w:rPr>
            </w:pPr>
            <w:r w:rsidRPr="000455BD">
              <w:rPr>
                <w:sz w:val="18"/>
                <w:lang w:val="es-GT" w:eastAsia="es-GT"/>
              </w:rPr>
              <w:t>4,866.2</w:t>
            </w:r>
          </w:p>
        </w:tc>
        <w:tc>
          <w:tcPr>
            <w:tcW w:w="1276" w:type="dxa"/>
            <w:tcBorders>
              <w:top w:val="nil"/>
              <w:left w:val="nil"/>
              <w:bottom w:val="nil"/>
              <w:right w:val="nil"/>
            </w:tcBorders>
            <w:shd w:val="clear" w:color="000000" w:fill="FFFFFF"/>
            <w:noWrap/>
            <w:vAlign w:val="center"/>
            <w:hideMark/>
          </w:tcPr>
          <w:p w:rsidR="00011502" w:rsidRPr="000455BD" w:rsidRDefault="00011502" w:rsidP="00011502">
            <w:pPr>
              <w:jc w:val="right"/>
              <w:rPr>
                <w:sz w:val="18"/>
                <w:lang w:val="es-GT" w:eastAsia="es-GT"/>
              </w:rPr>
            </w:pPr>
            <w:r w:rsidRPr="000455BD">
              <w:rPr>
                <w:sz w:val="18"/>
                <w:lang w:val="es-GT" w:eastAsia="es-GT"/>
              </w:rPr>
              <w:t>9,341.5</w:t>
            </w:r>
          </w:p>
        </w:tc>
        <w:tc>
          <w:tcPr>
            <w:tcW w:w="1559" w:type="dxa"/>
            <w:tcBorders>
              <w:top w:val="nil"/>
              <w:left w:val="nil"/>
              <w:bottom w:val="nil"/>
              <w:right w:val="single" w:sz="8" w:space="0" w:color="auto"/>
            </w:tcBorders>
            <w:shd w:val="clear" w:color="000000" w:fill="FFFFFF"/>
            <w:noWrap/>
            <w:vAlign w:val="center"/>
            <w:hideMark/>
          </w:tcPr>
          <w:p w:rsidR="00011502" w:rsidRPr="000455BD" w:rsidRDefault="00011502" w:rsidP="00011502">
            <w:pPr>
              <w:jc w:val="center"/>
              <w:rPr>
                <w:sz w:val="18"/>
                <w:lang w:val="es-GT" w:eastAsia="es-GT"/>
              </w:rPr>
            </w:pPr>
            <w:r w:rsidRPr="000455BD">
              <w:rPr>
                <w:sz w:val="18"/>
                <w:lang w:val="es-GT" w:eastAsia="es-GT"/>
              </w:rPr>
              <w:t>34.3%</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center"/>
            <w:hideMark/>
          </w:tcPr>
          <w:p w:rsidR="00011502" w:rsidRPr="000455BD" w:rsidRDefault="00011502" w:rsidP="002D3BBB">
            <w:pPr>
              <w:rPr>
                <w:sz w:val="18"/>
                <w:lang w:val="es-GT" w:eastAsia="es-GT"/>
              </w:rPr>
            </w:pPr>
            <w:r w:rsidRPr="000455BD">
              <w:rPr>
                <w:sz w:val="18"/>
                <w:lang w:val="es-GT" w:eastAsia="es-GT"/>
              </w:rPr>
              <w:t xml:space="preserve">Negociación Neta de Primas por </w:t>
            </w:r>
            <w:r w:rsidR="002D3BBB">
              <w:rPr>
                <w:sz w:val="18"/>
                <w:lang w:val="es-GT" w:eastAsia="es-GT"/>
              </w:rPr>
              <w:t>C</w:t>
            </w:r>
            <w:r w:rsidRPr="000455BD">
              <w:rPr>
                <w:sz w:val="18"/>
                <w:lang w:val="es-GT" w:eastAsia="es-GT"/>
              </w:rPr>
              <w:t>olocaci</w:t>
            </w:r>
            <w:r w:rsidR="002D3BBB">
              <w:rPr>
                <w:sz w:val="18"/>
                <w:lang w:val="es-GT" w:eastAsia="es-GT"/>
              </w:rPr>
              <w:t>ones</w:t>
            </w:r>
          </w:p>
        </w:tc>
        <w:tc>
          <w:tcPr>
            <w:tcW w:w="1185" w:type="dxa"/>
            <w:tcBorders>
              <w:top w:val="nil"/>
              <w:left w:val="nil"/>
              <w:bottom w:val="nil"/>
              <w:right w:val="nil"/>
            </w:tcBorders>
            <w:shd w:val="clear" w:color="000000" w:fill="FFFFFF"/>
            <w:noWrap/>
            <w:vAlign w:val="center"/>
            <w:hideMark/>
          </w:tcPr>
          <w:p w:rsidR="00011502" w:rsidRPr="000455BD" w:rsidRDefault="00011502" w:rsidP="00011502">
            <w:pPr>
              <w:jc w:val="right"/>
              <w:rPr>
                <w:sz w:val="18"/>
                <w:lang w:val="es-GT" w:eastAsia="es-GT"/>
              </w:rPr>
            </w:pPr>
            <w:r w:rsidRPr="000455BD">
              <w:rPr>
                <w:sz w:val="18"/>
                <w:lang w:val="es-GT" w:eastAsia="es-GT"/>
              </w:rPr>
              <w:t>93.8</w:t>
            </w:r>
          </w:p>
        </w:tc>
        <w:tc>
          <w:tcPr>
            <w:tcW w:w="1276" w:type="dxa"/>
            <w:tcBorders>
              <w:top w:val="nil"/>
              <w:left w:val="nil"/>
              <w:bottom w:val="nil"/>
              <w:right w:val="nil"/>
            </w:tcBorders>
            <w:shd w:val="clear" w:color="000000" w:fill="FFFFFF"/>
            <w:noWrap/>
            <w:vAlign w:val="center"/>
            <w:hideMark/>
          </w:tcPr>
          <w:p w:rsidR="00011502" w:rsidRPr="000455BD" w:rsidRDefault="00011502" w:rsidP="00011502">
            <w:pPr>
              <w:jc w:val="right"/>
              <w:rPr>
                <w:sz w:val="18"/>
                <w:lang w:val="es-GT" w:eastAsia="es-GT"/>
              </w:rPr>
            </w:pPr>
            <w:r w:rsidRPr="000455BD">
              <w:rPr>
                <w:sz w:val="18"/>
                <w:lang w:val="es-GT" w:eastAsia="es-GT"/>
              </w:rPr>
              <w:t>473.8</w:t>
            </w:r>
          </w:p>
        </w:tc>
        <w:tc>
          <w:tcPr>
            <w:tcW w:w="1276" w:type="dxa"/>
            <w:tcBorders>
              <w:top w:val="nil"/>
              <w:left w:val="nil"/>
              <w:bottom w:val="nil"/>
              <w:right w:val="nil"/>
            </w:tcBorders>
            <w:shd w:val="clear" w:color="000000" w:fill="FFFFFF"/>
            <w:noWrap/>
            <w:vAlign w:val="center"/>
            <w:hideMark/>
          </w:tcPr>
          <w:p w:rsidR="00011502" w:rsidRPr="000455BD" w:rsidRDefault="00011502" w:rsidP="00011502">
            <w:pPr>
              <w:jc w:val="right"/>
              <w:rPr>
                <w:sz w:val="18"/>
                <w:lang w:val="es-GT" w:eastAsia="es-GT"/>
              </w:rPr>
            </w:pPr>
            <w:r w:rsidRPr="000455BD">
              <w:rPr>
                <w:sz w:val="18"/>
                <w:lang w:val="es-GT" w:eastAsia="es-GT"/>
              </w:rPr>
              <w:t>-380.0</w:t>
            </w:r>
          </w:p>
        </w:tc>
        <w:tc>
          <w:tcPr>
            <w:tcW w:w="1559" w:type="dxa"/>
            <w:tcBorders>
              <w:top w:val="nil"/>
              <w:left w:val="nil"/>
              <w:bottom w:val="nil"/>
              <w:right w:val="single" w:sz="8" w:space="0" w:color="auto"/>
            </w:tcBorders>
            <w:shd w:val="clear" w:color="000000" w:fill="FFFFFF"/>
            <w:noWrap/>
            <w:vAlign w:val="center"/>
            <w:hideMark/>
          </w:tcPr>
          <w:p w:rsidR="00011502" w:rsidRPr="000455BD" w:rsidRDefault="00011502" w:rsidP="00011502">
            <w:pPr>
              <w:jc w:val="center"/>
              <w:rPr>
                <w:sz w:val="18"/>
                <w:lang w:val="es-GT" w:eastAsia="es-GT"/>
              </w:rPr>
            </w:pPr>
            <w:r w:rsidRPr="000455BD">
              <w:rPr>
                <w:sz w:val="18"/>
                <w:lang w:val="es-GT" w:eastAsia="es-GT"/>
              </w:rPr>
              <w:t>505.2%</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2D3BBB">
            <w:pPr>
              <w:ind w:firstLineChars="300" w:firstLine="540"/>
              <w:rPr>
                <w:sz w:val="18"/>
                <w:lang w:val="es-GT" w:eastAsia="es-GT"/>
              </w:rPr>
            </w:pPr>
            <w:r w:rsidRPr="000455BD">
              <w:rPr>
                <w:sz w:val="18"/>
                <w:lang w:val="es-GT" w:eastAsia="es-GT"/>
              </w:rPr>
              <w:t>Colocaci</w:t>
            </w:r>
            <w:r w:rsidR="002D3BBB">
              <w:rPr>
                <w:sz w:val="18"/>
                <w:lang w:val="es-GT" w:eastAsia="es-GT"/>
              </w:rPr>
              <w:t>ones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0.0</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497.2</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-497.2</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color w:val="FFFFFF"/>
                <w:sz w:val="18"/>
                <w:lang w:val="es-GT" w:eastAsia="es-GT"/>
              </w:rPr>
            </w:pPr>
            <w:r w:rsidRPr="000455BD">
              <w:rPr>
                <w:color w:val="FFFFFF"/>
                <w:sz w:val="18"/>
                <w:lang w:val="es-GT" w:eastAsia="es-GT"/>
              </w:rPr>
              <w:t>#¡DIV/0!</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bottom"/>
            <w:hideMark/>
          </w:tcPr>
          <w:p w:rsidR="00011502" w:rsidRPr="000455BD" w:rsidRDefault="00011502" w:rsidP="002D3BBB">
            <w:pPr>
              <w:ind w:firstLineChars="300" w:firstLine="540"/>
              <w:rPr>
                <w:sz w:val="18"/>
                <w:lang w:val="es-GT" w:eastAsia="es-GT"/>
              </w:rPr>
            </w:pPr>
            <w:r w:rsidRPr="000455BD">
              <w:rPr>
                <w:sz w:val="18"/>
                <w:lang w:val="es-GT" w:eastAsia="es-GT"/>
              </w:rPr>
              <w:t>Amortizaci</w:t>
            </w:r>
            <w:r w:rsidR="002D3BBB">
              <w:rPr>
                <w:sz w:val="18"/>
                <w:lang w:val="es-GT" w:eastAsia="es-GT"/>
              </w:rPr>
              <w:t>ones</w:t>
            </w:r>
          </w:p>
        </w:tc>
        <w:tc>
          <w:tcPr>
            <w:tcW w:w="1185"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93.8</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23.4</w:t>
            </w:r>
          </w:p>
        </w:tc>
        <w:tc>
          <w:tcPr>
            <w:tcW w:w="1276" w:type="dxa"/>
            <w:tcBorders>
              <w:top w:val="nil"/>
              <w:left w:val="nil"/>
              <w:bottom w:val="nil"/>
              <w:right w:val="nil"/>
            </w:tcBorders>
            <w:shd w:val="clear" w:color="000000" w:fill="FFFFFF"/>
            <w:noWrap/>
            <w:vAlign w:val="bottom"/>
            <w:hideMark/>
          </w:tcPr>
          <w:p w:rsidR="00011502" w:rsidRPr="000455BD" w:rsidRDefault="00011502" w:rsidP="00011502">
            <w:pPr>
              <w:jc w:val="right"/>
              <w:rPr>
                <w:sz w:val="18"/>
                <w:lang w:val="es-GT" w:eastAsia="es-GT"/>
              </w:rPr>
            </w:pPr>
            <w:r w:rsidRPr="000455BD">
              <w:rPr>
                <w:sz w:val="18"/>
                <w:lang w:val="es-GT" w:eastAsia="es-GT"/>
              </w:rPr>
              <w:t>70.4</w:t>
            </w:r>
          </w:p>
        </w:tc>
        <w:tc>
          <w:tcPr>
            <w:tcW w:w="1559" w:type="dxa"/>
            <w:tcBorders>
              <w:top w:val="nil"/>
              <w:left w:val="nil"/>
              <w:bottom w:val="nil"/>
              <w:right w:val="single" w:sz="8" w:space="0" w:color="auto"/>
            </w:tcBorders>
            <w:shd w:val="clear" w:color="000000" w:fill="FFFFFF"/>
            <w:noWrap/>
            <w:vAlign w:val="bottom"/>
            <w:hideMark/>
          </w:tcPr>
          <w:p w:rsidR="00011502" w:rsidRPr="000455BD" w:rsidRDefault="00011502" w:rsidP="00011502">
            <w:pPr>
              <w:jc w:val="center"/>
              <w:rPr>
                <w:sz w:val="18"/>
                <w:lang w:val="es-GT" w:eastAsia="es-GT"/>
              </w:rPr>
            </w:pPr>
            <w:r w:rsidRPr="000455BD">
              <w:rPr>
                <w:sz w:val="18"/>
                <w:lang w:val="es-GT" w:eastAsia="es-GT"/>
              </w:rPr>
              <w:t>25.0%</w:t>
            </w:r>
          </w:p>
        </w:tc>
      </w:tr>
      <w:tr w:rsidR="00011502" w:rsidRPr="000455BD" w:rsidTr="002D3BBB">
        <w:trPr>
          <w:trHeight w:val="299"/>
        </w:trPr>
        <w:tc>
          <w:tcPr>
            <w:tcW w:w="4050" w:type="dxa"/>
            <w:tcBorders>
              <w:top w:val="nil"/>
              <w:left w:val="single" w:sz="8" w:space="0" w:color="auto"/>
              <w:bottom w:val="nil"/>
              <w:right w:val="nil"/>
            </w:tcBorders>
            <w:shd w:val="clear" w:color="000000" w:fill="FFFFFF"/>
            <w:noWrap/>
            <w:vAlign w:val="center"/>
            <w:hideMark/>
          </w:tcPr>
          <w:p w:rsidR="00011502" w:rsidRPr="000455BD" w:rsidRDefault="00011502" w:rsidP="00011502">
            <w:pPr>
              <w:rPr>
                <w:sz w:val="18"/>
                <w:lang w:val="es-GT" w:eastAsia="es-GT"/>
              </w:rPr>
            </w:pPr>
            <w:r w:rsidRPr="000455BD">
              <w:rPr>
                <w:sz w:val="18"/>
                <w:lang w:val="es-GT" w:eastAsia="es-GT"/>
              </w:rPr>
              <w:t xml:space="preserve">Amortización por el Costo de la Política Monetaria </w:t>
            </w:r>
          </w:p>
        </w:tc>
        <w:tc>
          <w:tcPr>
            <w:tcW w:w="1185" w:type="dxa"/>
            <w:tcBorders>
              <w:top w:val="nil"/>
              <w:left w:val="nil"/>
              <w:bottom w:val="nil"/>
              <w:right w:val="nil"/>
            </w:tcBorders>
            <w:shd w:val="clear" w:color="000000" w:fill="FFFFFF"/>
            <w:noWrap/>
            <w:vAlign w:val="center"/>
            <w:hideMark/>
          </w:tcPr>
          <w:p w:rsidR="00011502" w:rsidRPr="000455BD" w:rsidRDefault="00011502" w:rsidP="00011502">
            <w:pPr>
              <w:jc w:val="right"/>
              <w:rPr>
                <w:sz w:val="18"/>
                <w:lang w:val="es-GT" w:eastAsia="es-GT"/>
              </w:rPr>
            </w:pPr>
            <w:r w:rsidRPr="000455BD">
              <w:rPr>
                <w:sz w:val="18"/>
                <w:lang w:val="es-GT" w:eastAsia="es-GT"/>
              </w:rPr>
              <w:t>699.5</w:t>
            </w:r>
          </w:p>
        </w:tc>
        <w:tc>
          <w:tcPr>
            <w:tcW w:w="1276" w:type="dxa"/>
            <w:tcBorders>
              <w:top w:val="nil"/>
              <w:left w:val="nil"/>
              <w:bottom w:val="nil"/>
              <w:right w:val="nil"/>
            </w:tcBorders>
            <w:shd w:val="clear" w:color="000000" w:fill="FFFFFF"/>
            <w:noWrap/>
            <w:vAlign w:val="center"/>
            <w:hideMark/>
          </w:tcPr>
          <w:p w:rsidR="00011502" w:rsidRPr="000455BD" w:rsidRDefault="00011502" w:rsidP="00011502">
            <w:pPr>
              <w:jc w:val="right"/>
              <w:rPr>
                <w:sz w:val="18"/>
                <w:lang w:val="es-GT" w:eastAsia="es-GT"/>
              </w:rPr>
            </w:pPr>
            <w:r w:rsidRPr="000455BD">
              <w:rPr>
                <w:sz w:val="18"/>
                <w:lang w:val="es-GT" w:eastAsia="es-GT"/>
              </w:rPr>
              <w:t>0.0</w:t>
            </w:r>
          </w:p>
        </w:tc>
        <w:tc>
          <w:tcPr>
            <w:tcW w:w="1276" w:type="dxa"/>
            <w:tcBorders>
              <w:top w:val="nil"/>
              <w:left w:val="nil"/>
              <w:bottom w:val="nil"/>
              <w:right w:val="nil"/>
            </w:tcBorders>
            <w:shd w:val="clear" w:color="000000" w:fill="FFFFFF"/>
            <w:noWrap/>
            <w:vAlign w:val="center"/>
            <w:hideMark/>
          </w:tcPr>
          <w:p w:rsidR="00011502" w:rsidRPr="000455BD" w:rsidRDefault="00011502" w:rsidP="00011502">
            <w:pPr>
              <w:jc w:val="right"/>
              <w:rPr>
                <w:sz w:val="18"/>
                <w:lang w:val="es-GT" w:eastAsia="es-GT"/>
              </w:rPr>
            </w:pPr>
            <w:r w:rsidRPr="000455BD">
              <w:rPr>
                <w:sz w:val="18"/>
                <w:lang w:val="es-GT" w:eastAsia="es-GT"/>
              </w:rPr>
              <w:t>699.5</w:t>
            </w:r>
          </w:p>
        </w:tc>
        <w:tc>
          <w:tcPr>
            <w:tcW w:w="1559" w:type="dxa"/>
            <w:tcBorders>
              <w:top w:val="nil"/>
              <w:left w:val="nil"/>
              <w:bottom w:val="nil"/>
              <w:right w:val="single" w:sz="8" w:space="0" w:color="auto"/>
            </w:tcBorders>
            <w:shd w:val="clear" w:color="000000" w:fill="FFFFFF"/>
            <w:noWrap/>
            <w:vAlign w:val="center"/>
            <w:hideMark/>
          </w:tcPr>
          <w:p w:rsidR="00011502" w:rsidRPr="000455BD" w:rsidRDefault="00011502" w:rsidP="00011502">
            <w:pPr>
              <w:jc w:val="center"/>
              <w:rPr>
                <w:sz w:val="18"/>
                <w:lang w:val="es-GT" w:eastAsia="es-GT"/>
              </w:rPr>
            </w:pPr>
            <w:r w:rsidRPr="000455BD">
              <w:rPr>
                <w:sz w:val="18"/>
                <w:lang w:val="es-GT" w:eastAsia="es-GT"/>
              </w:rPr>
              <w:t>0.0%</w:t>
            </w:r>
          </w:p>
        </w:tc>
      </w:tr>
      <w:tr w:rsidR="00011502" w:rsidRPr="000455BD" w:rsidTr="002D3BBB">
        <w:trPr>
          <w:trHeight w:val="314"/>
        </w:trPr>
        <w:tc>
          <w:tcPr>
            <w:tcW w:w="4050" w:type="dxa"/>
            <w:tcBorders>
              <w:top w:val="nil"/>
              <w:left w:val="single" w:sz="8" w:space="0" w:color="auto"/>
              <w:bottom w:val="single" w:sz="8" w:space="0" w:color="auto"/>
              <w:right w:val="nil"/>
            </w:tcBorders>
            <w:shd w:val="clear" w:color="000000" w:fill="FFFFFF"/>
            <w:noWrap/>
            <w:vAlign w:val="center"/>
            <w:hideMark/>
          </w:tcPr>
          <w:p w:rsidR="00011502" w:rsidRPr="000455BD" w:rsidRDefault="00011502" w:rsidP="00011502">
            <w:pPr>
              <w:rPr>
                <w:b/>
                <w:bCs/>
                <w:sz w:val="18"/>
                <w:lang w:val="es-GT" w:eastAsia="es-GT"/>
              </w:rPr>
            </w:pPr>
            <w:r w:rsidRPr="000455BD">
              <w:rPr>
                <w:b/>
                <w:bCs/>
                <w:sz w:val="18"/>
                <w:lang w:val="es-GT" w:eastAsia="es-GT"/>
              </w:rPr>
              <w:t>Variación de Caja (+) disminución (-) aumento</w:t>
            </w:r>
          </w:p>
        </w:tc>
        <w:tc>
          <w:tcPr>
            <w:tcW w:w="1185" w:type="dxa"/>
            <w:tcBorders>
              <w:top w:val="nil"/>
              <w:left w:val="nil"/>
              <w:bottom w:val="single" w:sz="8" w:space="0" w:color="auto"/>
              <w:right w:val="nil"/>
            </w:tcBorders>
            <w:shd w:val="clear" w:color="000000" w:fill="FFFFFF"/>
            <w:noWrap/>
            <w:vAlign w:val="center"/>
            <w:hideMark/>
          </w:tcPr>
          <w:p w:rsidR="00011502" w:rsidRPr="000455BD" w:rsidRDefault="00011502" w:rsidP="00011502">
            <w:pPr>
              <w:jc w:val="right"/>
              <w:rPr>
                <w:b/>
                <w:bCs/>
                <w:sz w:val="18"/>
                <w:lang w:val="es-GT" w:eastAsia="es-GT"/>
              </w:rPr>
            </w:pPr>
            <w:r w:rsidRPr="000455BD">
              <w:rPr>
                <w:b/>
                <w:bCs/>
                <w:sz w:val="18"/>
                <w:lang w:val="es-GT" w:eastAsia="es-GT"/>
              </w:rPr>
              <w:t>3,367.4</w:t>
            </w:r>
          </w:p>
        </w:tc>
        <w:tc>
          <w:tcPr>
            <w:tcW w:w="1276" w:type="dxa"/>
            <w:tcBorders>
              <w:top w:val="nil"/>
              <w:left w:val="nil"/>
              <w:bottom w:val="single" w:sz="8" w:space="0" w:color="auto"/>
              <w:right w:val="nil"/>
            </w:tcBorders>
            <w:shd w:val="clear" w:color="000000" w:fill="FFFFFF"/>
            <w:noWrap/>
            <w:vAlign w:val="center"/>
            <w:hideMark/>
          </w:tcPr>
          <w:p w:rsidR="00011502" w:rsidRPr="000455BD" w:rsidRDefault="00011502" w:rsidP="00011502">
            <w:pPr>
              <w:jc w:val="right"/>
              <w:rPr>
                <w:b/>
                <w:bCs/>
                <w:sz w:val="18"/>
                <w:lang w:val="es-GT" w:eastAsia="es-GT"/>
              </w:rPr>
            </w:pPr>
            <w:r w:rsidRPr="000455BD">
              <w:rPr>
                <w:b/>
                <w:bCs/>
                <w:sz w:val="18"/>
                <w:lang w:val="es-GT" w:eastAsia="es-GT"/>
              </w:rPr>
              <w:t>1,041.2</w:t>
            </w:r>
          </w:p>
        </w:tc>
        <w:tc>
          <w:tcPr>
            <w:tcW w:w="1276" w:type="dxa"/>
            <w:tcBorders>
              <w:top w:val="nil"/>
              <w:left w:val="nil"/>
              <w:bottom w:val="single" w:sz="8" w:space="0" w:color="auto"/>
              <w:right w:val="nil"/>
            </w:tcBorders>
            <w:shd w:val="clear" w:color="000000" w:fill="FFFFFF"/>
            <w:noWrap/>
            <w:vAlign w:val="center"/>
            <w:hideMark/>
          </w:tcPr>
          <w:p w:rsidR="00011502" w:rsidRPr="000455BD" w:rsidRDefault="00011502" w:rsidP="00011502">
            <w:pPr>
              <w:jc w:val="right"/>
              <w:rPr>
                <w:b/>
                <w:bCs/>
                <w:sz w:val="18"/>
                <w:lang w:val="es-GT" w:eastAsia="es-GT"/>
              </w:rPr>
            </w:pPr>
            <w:r w:rsidRPr="000455BD">
              <w:rPr>
                <w:b/>
                <w:bCs/>
                <w:sz w:val="18"/>
                <w:lang w:val="es-GT" w:eastAsia="es-GT"/>
              </w:rPr>
              <w:t>2,326.2</w:t>
            </w:r>
          </w:p>
        </w:tc>
        <w:tc>
          <w:tcPr>
            <w:tcW w:w="1559" w:type="dxa"/>
            <w:tcBorders>
              <w:top w:val="nil"/>
              <w:left w:val="nil"/>
              <w:bottom w:val="single" w:sz="8" w:space="0" w:color="auto"/>
              <w:right w:val="single" w:sz="8" w:space="0" w:color="auto"/>
            </w:tcBorders>
            <w:shd w:val="clear" w:color="000000" w:fill="FFFFFF"/>
            <w:noWrap/>
            <w:vAlign w:val="center"/>
            <w:hideMark/>
          </w:tcPr>
          <w:p w:rsidR="00011502" w:rsidRPr="000455BD" w:rsidRDefault="00011502" w:rsidP="00011502">
            <w:pPr>
              <w:jc w:val="center"/>
              <w:rPr>
                <w:b/>
                <w:bCs/>
                <w:sz w:val="18"/>
                <w:lang w:val="es-GT" w:eastAsia="es-GT"/>
              </w:rPr>
            </w:pPr>
            <w:r w:rsidRPr="000455BD">
              <w:rPr>
                <w:b/>
                <w:bCs/>
                <w:sz w:val="18"/>
                <w:lang w:val="es-GT" w:eastAsia="es-GT"/>
              </w:rPr>
              <w:t>30.9%</w:t>
            </w:r>
          </w:p>
        </w:tc>
      </w:tr>
    </w:tbl>
    <w:p w:rsidR="00011502" w:rsidRPr="004E678D" w:rsidRDefault="00011502" w:rsidP="00011502">
      <w:pPr>
        <w:jc w:val="both"/>
        <w:rPr>
          <w:sz w:val="18"/>
        </w:rPr>
      </w:pPr>
      <w:r w:rsidRPr="004E678D">
        <w:rPr>
          <w:sz w:val="18"/>
          <w:lang w:val="es-GT"/>
        </w:rPr>
        <w:t>* Cifras preliminares</w:t>
      </w:r>
    </w:p>
    <w:p w:rsidR="00011502" w:rsidRPr="004E678D" w:rsidRDefault="00011502" w:rsidP="00011502">
      <w:pPr>
        <w:jc w:val="both"/>
        <w:rPr>
          <w:sz w:val="18"/>
        </w:rPr>
      </w:pPr>
      <w:r w:rsidRPr="004E678D">
        <w:rPr>
          <w:sz w:val="18"/>
        </w:rPr>
        <w:t>Fuente: Ministerio de Finanzas Públicas</w:t>
      </w:r>
      <w:r>
        <w:rPr>
          <w:sz w:val="18"/>
        </w:rPr>
        <w:t>.</w:t>
      </w:r>
    </w:p>
    <w:p w:rsidR="00011502" w:rsidRDefault="00011502" w:rsidP="00011502">
      <w:pPr>
        <w:jc w:val="both"/>
      </w:pPr>
    </w:p>
    <w:p w:rsidR="00011502" w:rsidRDefault="00011502" w:rsidP="00011502">
      <w:pPr>
        <w:jc w:val="both"/>
      </w:pPr>
    </w:p>
    <w:p w:rsidR="005E525A" w:rsidRDefault="005E525A" w:rsidP="00011502">
      <w:pPr>
        <w:jc w:val="both"/>
      </w:pPr>
    </w:p>
    <w:p w:rsidR="005E525A" w:rsidRPr="00124AD6" w:rsidRDefault="005E525A" w:rsidP="00011502">
      <w:pPr>
        <w:jc w:val="both"/>
      </w:pPr>
    </w:p>
    <w:p w:rsidR="00011502" w:rsidRDefault="00011502" w:rsidP="00011502">
      <w:pPr>
        <w:jc w:val="both"/>
        <w:rPr>
          <w:lang w:val="es-GT"/>
        </w:rPr>
      </w:pPr>
      <w:r w:rsidRPr="00124AD6">
        <w:rPr>
          <w:lang w:val="es-GT"/>
        </w:rPr>
        <w:t>De conformidad con la situación financiera al 31 de diciembre de 201</w:t>
      </w:r>
      <w:r>
        <w:rPr>
          <w:lang w:val="es-GT"/>
        </w:rPr>
        <w:t>9</w:t>
      </w:r>
      <w:r w:rsidRPr="00124AD6">
        <w:rPr>
          <w:lang w:val="es-GT"/>
        </w:rPr>
        <w:t xml:space="preserve">, los </w:t>
      </w:r>
      <w:r w:rsidR="000B5888">
        <w:rPr>
          <w:lang w:val="es-GT"/>
        </w:rPr>
        <w:t>I</w:t>
      </w:r>
      <w:r w:rsidRPr="00124AD6">
        <w:rPr>
          <w:lang w:val="es-GT"/>
        </w:rPr>
        <w:t xml:space="preserve">ngresos </w:t>
      </w:r>
      <w:r w:rsidR="000B5888">
        <w:rPr>
          <w:lang w:val="es-GT"/>
        </w:rPr>
        <w:t>T</w:t>
      </w:r>
      <w:r w:rsidRPr="00124AD6">
        <w:rPr>
          <w:lang w:val="es-GT"/>
        </w:rPr>
        <w:t xml:space="preserve">otales se </w:t>
      </w:r>
      <w:r w:rsidR="005976C5">
        <w:rPr>
          <w:lang w:val="es-GT"/>
        </w:rPr>
        <w:t>percibieron</w:t>
      </w:r>
      <w:r w:rsidRPr="00124AD6">
        <w:rPr>
          <w:lang w:val="es-GT"/>
        </w:rPr>
        <w:t xml:space="preserve"> en</w:t>
      </w:r>
      <w:r w:rsidR="005976C5">
        <w:rPr>
          <w:lang w:val="es-GT"/>
        </w:rPr>
        <w:t xml:space="preserve"> el monto de</w:t>
      </w:r>
      <w:r w:rsidRPr="00124AD6">
        <w:rPr>
          <w:lang w:val="es-GT"/>
        </w:rPr>
        <w:t xml:space="preserve"> </w:t>
      </w:r>
      <w:r>
        <w:rPr>
          <w:lang w:val="es-GT"/>
        </w:rPr>
        <w:t>Q</w:t>
      </w:r>
      <w:r w:rsidR="005976C5">
        <w:rPr>
          <w:lang w:val="es-GT"/>
        </w:rPr>
        <w:t>.</w:t>
      </w:r>
      <w:r>
        <w:rPr>
          <w:lang w:val="es-GT"/>
        </w:rPr>
        <w:t>66,542.1</w:t>
      </w:r>
      <w:r w:rsidRPr="00124AD6">
        <w:rPr>
          <w:lang w:val="es-GT"/>
        </w:rPr>
        <w:t xml:space="preserve"> millones, </w:t>
      </w:r>
      <w:r>
        <w:rPr>
          <w:lang w:val="es-GT"/>
        </w:rPr>
        <w:t xml:space="preserve">equivalentes al 97.1% </w:t>
      </w:r>
      <w:r w:rsidR="005976C5">
        <w:rPr>
          <w:lang w:val="es-GT"/>
        </w:rPr>
        <w:t>de</w:t>
      </w:r>
      <w:r>
        <w:rPr>
          <w:lang w:val="es-GT"/>
        </w:rPr>
        <w:t xml:space="preserve"> lo estimado en el presupuesto</w:t>
      </w:r>
      <w:r w:rsidR="005976C5">
        <w:rPr>
          <w:lang w:val="es-GT"/>
        </w:rPr>
        <w:t xml:space="preserve"> aprobado</w:t>
      </w:r>
      <w:r>
        <w:rPr>
          <w:lang w:val="es-GT"/>
        </w:rPr>
        <w:t xml:space="preserve"> que fue de Q</w:t>
      </w:r>
      <w:r w:rsidR="005976C5">
        <w:rPr>
          <w:lang w:val="es-GT"/>
        </w:rPr>
        <w:t>.</w:t>
      </w:r>
      <w:r>
        <w:rPr>
          <w:lang w:val="es-GT"/>
        </w:rPr>
        <w:t xml:space="preserve">68,547.4; esta disminución se debe </w:t>
      </w:r>
      <w:r w:rsidR="000B5888">
        <w:rPr>
          <w:lang w:val="es-GT"/>
        </w:rPr>
        <w:t xml:space="preserve">principalmente </w:t>
      </w:r>
      <w:r>
        <w:rPr>
          <w:lang w:val="es-GT"/>
        </w:rPr>
        <w:t xml:space="preserve">a que la </w:t>
      </w:r>
      <w:r w:rsidR="000B5888">
        <w:rPr>
          <w:lang w:val="es-GT"/>
        </w:rPr>
        <w:t>recaudación</w:t>
      </w:r>
      <w:r>
        <w:rPr>
          <w:lang w:val="es-GT"/>
        </w:rPr>
        <w:t xml:space="preserve"> del Impuesto al Valor Agregado</w:t>
      </w:r>
      <w:r w:rsidR="0073583D">
        <w:rPr>
          <w:lang w:val="es-GT"/>
        </w:rPr>
        <w:t xml:space="preserve"> (IVA)</w:t>
      </w:r>
      <w:r>
        <w:rPr>
          <w:lang w:val="es-GT"/>
        </w:rPr>
        <w:t xml:space="preserve"> estuvo por debajo de lo p</w:t>
      </w:r>
      <w:r w:rsidR="0073583D">
        <w:rPr>
          <w:lang w:val="es-GT"/>
        </w:rPr>
        <w:t>rogramado</w:t>
      </w:r>
      <w:r>
        <w:rPr>
          <w:lang w:val="es-GT"/>
        </w:rPr>
        <w:t xml:space="preserve"> y preliminarmente reporta Q</w:t>
      </w:r>
      <w:r w:rsidR="0073583D">
        <w:rPr>
          <w:lang w:val="es-GT"/>
        </w:rPr>
        <w:t>.</w:t>
      </w:r>
      <w:r>
        <w:rPr>
          <w:lang w:val="es-GT"/>
        </w:rPr>
        <w:t>1,149.9 millones menos</w:t>
      </w:r>
      <w:r w:rsidR="0073583D">
        <w:rPr>
          <w:lang w:val="es-GT"/>
        </w:rPr>
        <w:t>, equivalentes al</w:t>
      </w:r>
      <w:r>
        <w:rPr>
          <w:lang w:val="es-GT"/>
        </w:rPr>
        <w:t xml:space="preserve"> 96.3% de lo estimado en el presupuesto aprobado, </w:t>
      </w:r>
      <w:r w:rsidR="0073583D">
        <w:rPr>
          <w:lang w:val="es-GT"/>
        </w:rPr>
        <w:t xml:space="preserve">reportando una recaudación neta de </w:t>
      </w:r>
      <w:r>
        <w:rPr>
          <w:lang w:val="es-GT"/>
        </w:rPr>
        <w:t>Q</w:t>
      </w:r>
      <w:r w:rsidR="0073583D">
        <w:rPr>
          <w:lang w:val="es-GT"/>
        </w:rPr>
        <w:t>.</w:t>
      </w:r>
      <w:r>
        <w:rPr>
          <w:lang w:val="es-GT"/>
        </w:rPr>
        <w:t>29,920.0 millones preliminar</w:t>
      </w:r>
      <w:r w:rsidR="0073583D">
        <w:rPr>
          <w:lang w:val="es-GT"/>
        </w:rPr>
        <w:t>mente</w:t>
      </w:r>
      <w:r>
        <w:rPr>
          <w:lang w:val="es-GT"/>
        </w:rPr>
        <w:t>.</w:t>
      </w:r>
    </w:p>
    <w:p w:rsidR="00011502" w:rsidRPr="005E525A" w:rsidRDefault="00011502" w:rsidP="00011502">
      <w:pPr>
        <w:jc w:val="both"/>
        <w:rPr>
          <w:sz w:val="28"/>
          <w:lang w:val="es-GT"/>
        </w:rPr>
      </w:pPr>
    </w:p>
    <w:p w:rsidR="00011502" w:rsidRDefault="00011502" w:rsidP="00011502">
      <w:pPr>
        <w:jc w:val="both"/>
        <w:rPr>
          <w:lang w:val="es-GT"/>
        </w:rPr>
      </w:pPr>
      <w:r>
        <w:rPr>
          <w:lang w:val="es-GT"/>
        </w:rPr>
        <w:t xml:space="preserve">En lo referente a los Gastos Totales, </w:t>
      </w:r>
      <w:r w:rsidR="000B5888">
        <w:rPr>
          <w:lang w:val="es-GT"/>
        </w:rPr>
        <w:t xml:space="preserve">sin incluir amortizaciones de la Deuda Pública, </w:t>
      </w:r>
      <w:r>
        <w:rPr>
          <w:lang w:val="es-GT"/>
        </w:rPr>
        <w:t>la ejecución preliminar es de Q</w:t>
      </w:r>
      <w:r w:rsidR="000B5888">
        <w:rPr>
          <w:lang w:val="es-GT"/>
        </w:rPr>
        <w:t>.</w:t>
      </w:r>
      <w:r>
        <w:rPr>
          <w:lang w:val="es-GT"/>
        </w:rPr>
        <w:t>79,836.5 millones, equivalentes al 95.3% del presupuesto aprobado, el cual es de Q</w:t>
      </w:r>
      <w:r w:rsidR="000B5888">
        <w:rPr>
          <w:lang w:val="es-GT"/>
        </w:rPr>
        <w:t>.</w:t>
      </w:r>
      <w:r>
        <w:rPr>
          <w:lang w:val="es-GT"/>
        </w:rPr>
        <w:t>83,750.7 millones, distribuido así: Q</w:t>
      </w:r>
      <w:r w:rsidR="000B5888">
        <w:rPr>
          <w:lang w:val="es-GT"/>
        </w:rPr>
        <w:t>.</w:t>
      </w:r>
      <w:r>
        <w:rPr>
          <w:lang w:val="es-GT"/>
        </w:rPr>
        <w:t>67.556.9 millones para Gastos Corrientes, de los cuales se ejecutaron de forma preliminar 94.1% y destinados a Gastos de Capital Q</w:t>
      </w:r>
      <w:r w:rsidR="000B5888">
        <w:rPr>
          <w:lang w:val="es-GT"/>
        </w:rPr>
        <w:t>.</w:t>
      </w:r>
      <w:r>
        <w:rPr>
          <w:lang w:val="es-GT"/>
        </w:rPr>
        <w:t>16,193.8 millones, con una ejecución de 100.6%.</w:t>
      </w:r>
    </w:p>
    <w:p w:rsidR="00011502" w:rsidRPr="005E525A" w:rsidRDefault="00011502" w:rsidP="00011502">
      <w:pPr>
        <w:jc w:val="both"/>
        <w:rPr>
          <w:sz w:val="28"/>
          <w:lang w:val="es-GT"/>
        </w:rPr>
      </w:pPr>
    </w:p>
    <w:p w:rsidR="00011502" w:rsidRDefault="00011502" w:rsidP="00011502">
      <w:pPr>
        <w:jc w:val="both"/>
        <w:rPr>
          <w:lang w:val="es-GT"/>
        </w:rPr>
      </w:pPr>
      <w:r>
        <w:rPr>
          <w:lang w:val="es-GT"/>
        </w:rPr>
        <w:t>El presupuesto aprobado estableció un resultado presupuestario primario deficitario por valor de Q</w:t>
      </w:r>
      <w:r w:rsidR="000B5888">
        <w:rPr>
          <w:lang w:val="es-GT"/>
        </w:rPr>
        <w:t>.</w:t>
      </w:r>
      <w:r>
        <w:rPr>
          <w:lang w:val="es-GT"/>
        </w:rPr>
        <w:t>5,756.6 millones, de los cuales se ejecutaron el 62.6%, equivalentes a un Déficit Primario de Q</w:t>
      </w:r>
      <w:r w:rsidR="000B5888">
        <w:rPr>
          <w:lang w:val="es-GT"/>
        </w:rPr>
        <w:t>.</w:t>
      </w:r>
      <w:r>
        <w:rPr>
          <w:lang w:val="es-GT"/>
        </w:rPr>
        <w:t xml:space="preserve">3,604.5 millones, como resultado que la ejecución de los Gastos Totales se ubicó por debajo </w:t>
      </w:r>
      <w:r w:rsidR="000B5888">
        <w:rPr>
          <w:lang w:val="es-GT"/>
        </w:rPr>
        <w:t>de</w:t>
      </w:r>
      <w:r>
        <w:rPr>
          <w:lang w:val="es-GT"/>
        </w:rPr>
        <w:t xml:space="preserve"> lo estimado en Q</w:t>
      </w:r>
      <w:r w:rsidR="000B5888">
        <w:rPr>
          <w:lang w:val="es-GT"/>
        </w:rPr>
        <w:t>.</w:t>
      </w:r>
      <w:r>
        <w:rPr>
          <w:lang w:val="es-GT"/>
        </w:rPr>
        <w:t xml:space="preserve">3,914.2 millones. El Resultado Presupuestario estimado en el presupuesto </w:t>
      </w:r>
      <w:r w:rsidR="000B5888">
        <w:rPr>
          <w:lang w:val="es-GT"/>
        </w:rPr>
        <w:t xml:space="preserve">aprobado </w:t>
      </w:r>
      <w:r>
        <w:rPr>
          <w:lang w:val="es-GT"/>
        </w:rPr>
        <w:t>fue</w:t>
      </w:r>
      <w:r w:rsidR="000B5888">
        <w:rPr>
          <w:lang w:val="es-GT"/>
        </w:rPr>
        <w:t xml:space="preserve"> un déficit</w:t>
      </w:r>
      <w:r>
        <w:rPr>
          <w:lang w:val="es-GT"/>
        </w:rPr>
        <w:t xml:space="preserve"> de Q</w:t>
      </w:r>
      <w:r w:rsidR="000B5888">
        <w:rPr>
          <w:lang w:val="es-GT"/>
        </w:rPr>
        <w:t>.</w:t>
      </w:r>
      <w:r>
        <w:rPr>
          <w:lang w:val="es-GT"/>
        </w:rPr>
        <w:t>15,203.3 millones, en tanto que la ejecución, preliminarmente es de Q</w:t>
      </w:r>
      <w:r w:rsidR="000B5888">
        <w:rPr>
          <w:lang w:val="es-GT"/>
        </w:rPr>
        <w:t>.</w:t>
      </w:r>
      <w:r>
        <w:rPr>
          <w:lang w:val="es-GT"/>
        </w:rPr>
        <w:t>13,294.4 millones, equivalentes al 87.4%, al cierre preliminar.</w:t>
      </w:r>
    </w:p>
    <w:p w:rsidR="00011502" w:rsidRDefault="00011502" w:rsidP="00011502">
      <w:pPr>
        <w:jc w:val="both"/>
        <w:rPr>
          <w:lang w:val="es-GT"/>
        </w:rPr>
      </w:pPr>
    </w:p>
    <w:p w:rsidR="00011502" w:rsidRDefault="00011502" w:rsidP="00011502">
      <w:pPr>
        <w:jc w:val="both"/>
        <w:rPr>
          <w:lang w:val="es-GT"/>
        </w:rPr>
      </w:pPr>
    </w:p>
    <w:p w:rsidR="00011502" w:rsidRDefault="00011502" w:rsidP="00011502">
      <w:pPr>
        <w:pStyle w:val="Sinespaciado"/>
        <w:jc w:val="both"/>
        <w:rPr>
          <w:rFonts w:ascii="Times New Roman" w:hAnsi="Times New Roman" w:cs="Times New Roman"/>
          <w:lang w:val="es-MX"/>
        </w:rPr>
      </w:pPr>
    </w:p>
    <w:p w:rsidR="00011502" w:rsidRDefault="00011502" w:rsidP="00011502">
      <w:pPr>
        <w:rPr>
          <w:rFonts w:eastAsiaTheme="minorEastAsia"/>
          <w:lang w:val="es-MX" w:eastAsia="ja-JP"/>
        </w:rPr>
      </w:pPr>
      <w:r>
        <w:rPr>
          <w:lang w:val="es-MX"/>
        </w:rPr>
        <w:br w:type="page"/>
      </w:r>
    </w:p>
    <w:p w:rsidR="00802E7E" w:rsidRPr="00E4440A" w:rsidRDefault="001D7553" w:rsidP="00C774F3">
      <w:pPr>
        <w:pStyle w:val="Ttulo2"/>
        <w:numPr>
          <w:ilvl w:val="0"/>
          <w:numId w:val="3"/>
        </w:numPr>
        <w:spacing w:line="276" w:lineRule="auto"/>
        <w:ind w:left="567" w:hanging="567"/>
        <w:rPr>
          <w:rFonts w:ascii="Times New Roman" w:hAnsi="Times New Roman"/>
          <w:color w:val="auto"/>
          <w:sz w:val="24"/>
          <w:szCs w:val="24"/>
        </w:rPr>
      </w:pPr>
      <w:bookmarkStart w:id="19" w:name="_Toc32829796"/>
      <w:bookmarkStart w:id="20" w:name="_Toc364869044"/>
      <w:bookmarkEnd w:id="10"/>
      <w:bookmarkEnd w:id="11"/>
      <w:r w:rsidRPr="00E4440A">
        <w:rPr>
          <w:rFonts w:ascii="Times New Roman" w:hAnsi="Times New Roman"/>
          <w:color w:val="auto"/>
          <w:sz w:val="24"/>
          <w:szCs w:val="24"/>
        </w:rPr>
        <w:lastRenderedPageBreak/>
        <w:t xml:space="preserve">Principales </w:t>
      </w:r>
      <w:r w:rsidR="00BA1267" w:rsidRPr="00E4440A">
        <w:rPr>
          <w:rFonts w:ascii="Times New Roman" w:hAnsi="Times New Roman"/>
          <w:color w:val="auto"/>
          <w:sz w:val="24"/>
          <w:szCs w:val="24"/>
        </w:rPr>
        <w:t xml:space="preserve">Metas y </w:t>
      </w:r>
      <w:r w:rsidRPr="00E4440A">
        <w:rPr>
          <w:rFonts w:ascii="Times New Roman" w:hAnsi="Times New Roman"/>
          <w:color w:val="auto"/>
          <w:sz w:val="24"/>
          <w:szCs w:val="24"/>
        </w:rPr>
        <w:t>Resultados</w:t>
      </w:r>
      <w:bookmarkEnd w:id="19"/>
    </w:p>
    <w:p w:rsidR="00E24F7B" w:rsidRDefault="00E24F7B" w:rsidP="00E24F7B"/>
    <w:p w:rsidR="005970B7" w:rsidRDefault="006501EF" w:rsidP="005970B7">
      <w:pPr>
        <w:jc w:val="both"/>
      </w:pPr>
      <w:r>
        <w:t xml:space="preserve">Durante el </w:t>
      </w:r>
      <w:r w:rsidR="008224B6">
        <w:t>E</w:t>
      </w:r>
      <w:r>
        <w:t xml:space="preserve">jercicio </w:t>
      </w:r>
      <w:r w:rsidR="008224B6">
        <w:t>F</w:t>
      </w:r>
      <w:r>
        <w:t xml:space="preserve">iscal 2019 las instituciones públicas de conformidad </w:t>
      </w:r>
      <w:r w:rsidR="008224B6">
        <w:t>con</w:t>
      </w:r>
      <w:r>
        <w:t xml:space="preserve"> los lineamientos de la Política General de Gobierno 2016-2020, </w:t>
      </w:r>
      <w:r w:rsidR="005970B7">
        <w:t>realizaron esfuerzos p</w:t>
      </w:r>
      <w:r w:rsidR="00D41716">
        <w:t xml:space="preserve">ara </w:t>
      </w:r>
      <w:r w:rsidR="005970B7">
        <w:t>que las intervenciones públicas y los resultados alcanzados se ejecutaran en favor del establecimiento de una ruta para el desarrollo sostenible, enfocándose en tres ejes principales: Desarrollo Humano, Seguridad y Justicia, y Economía y Prosperidad.</w:t>
      </w:r>
    </w:p>
    <w:p w:rsidR="005970B7" w:rsidRDefault="005970B7" w:rsidP="005970B7">
      <w:pPr>
        <w:jc w:val="both"/>
      </w:pPr>
    </w:p>
    <w:p w:rsidR="001D7553" w:rsidRDefault="005970B7" w:rsidP="005970B7">
      <w:pPr>
        <w:jc w:val="both"/>
      </w:pPr>
      <w:r>
        <w:t xml:space="preserve">De esa cuenta, se alcanzaron </w:t>
      </w:r>
      <w:r w:rsidR="002C3A6A">
        <w:t xml:space="preserve">metas y </w:t>
      </w:r>
      <w:r>
        <w:t>resultados enfocad</w:t>
      </w:r>
      <w:r w:rsidR="002C3A6A">
        <w:t>o</w:t>
      </w:r>
      <w:r>
        <w:t>s principalmente al ámbito social, con el propósito de beneficiar a la población más necesitada del país.</w:t>
      </w:r>
    </w:p>
    <w:p w:rsidR="005970B7" w:rsidRDefault="005970B7" w:rsidP="00E24F7B"/>
    <w:p w:rsidR="00CC3CAE" w:rsidRPr="00124AD6" w:rsidRDefault="00CC3CAE" w:rsidP="00CC3CAE">
      <w:pPr>
        <w:jc w:val="center"/>
        <w:rPr>
          <w:b/>
        </w:rPr>
      </w:pPr>
      <w:r w:rsidRPr="00124AD6">
        <w:rPr>
          <w:b/>
        </w:rPr>
        <w:t xml:space="preserve">Cuadro </w:t>
      </w:r>
      <w:r w:rsidR="005F75BB">
        <w:rPr>
          <w:b/>
        </w:rPr>
        <w:t>10</w:t>
      </w:r>
    </w:p>
    <w:p w:rsidR="00CC3CAE" w:rsidRPr="00124AD6" w:rsidRDefault="00AE2FFB" w:rsidP="00CC3CAE">
      <w:pPr>
        <w:jc w:val="center"/>
        <w:rPr>
          <w:b/>
        </w:rPr>
      </w:pPr>
      <w:r>
        <w:rPr>
          <w:b/>
        </w:rPr>
        <w:t>Estudiantes Atendidos en el Programa de Alimentación Escolar</w:t>
      </w:r>
    </w:p>
    <w:p w:rsidR="00AE2FFB" w:rsidRDefault="00CC3CAE" w:rsidP="00CC3CAE">
      <w:pPr>
        <w:jc w:val="center"/>
        <w:rPr>
          <w:b/>
        </w:rPr>
      </w:pPr>
      <w:r>
        <w:rPr>
          <w:b/>
        </w:rPr>
        <w:t>Ejercicio</w:t>
      </w:r>
      <w:r w:rsidR="00AE2FFB">
        <w:rPr>
          <w:b/>
        </w:rPr>
        <w:t>s</w:t>
      </w:r>
      <w:r>
        <w:rPr>
          <w:b/>
        </w:rPr>
        <w:t xml:space="preserve"> Fiscal</w:t>
      </w:r>
      <w:r w:rsidR="00AE2FFB">
        <w:rPr>
          <w:b/>
        </w:rPr>
        <w:t>es</w:t>
      </w:r>
      <w:r>
        <w:rPr>
          <w:b/>
        </w:rPr>
        <w:t xml:space="preserve"> 201</w:t>
      </w:r>
      <w:r w:rsidR="00AE2FFB">
        <w:rPr>
          <w:b/>
        </w:rPr>
        <w:t>6</w:t>
      </w:r>
      <w:r w:rsidR="00404D10">
        <w:rPr>
          <w:b/>
        </w:rPr>
        <w:t xml:space="preserve"> </w:t>
      </w:r>
      <w:r w:rsidR="00AE2FFB">
        <w:rPr>
          <w:b/>
        </w:rPr>
        <w:t>-</w:t>
      </w:r>
      <w:r w:rsidR="00404D10">
        <w:rPr>
          <w:b/>
        </w:rPr>
        <w:t xml:space="preserve"> </w:t>
      </w:r>
      <w:r w:rsidR="00AE2FFB">
        <w:rPr>
          <w:b/>
        </w:rPr>
        <w:t>2019*</w:t>
      </w:r>
    </w:p>
    <w:tbl>
      <w:tblPr>
        <w:tblW w:w="8804" w:type="dxa"/>
        <w:tblInd w:w="55" w:type="dxa"/>
        <w:tblCellMar>
          <w:left w:w="70" w:type="dxa"/>
          <w:right w:w="70" w:type="dxa"/>
        </w:tblCellMar>
        <w:tblLook w:val="04A0" w:firstRow="1" w:lastRow="0" w:firstColumn="1" w:lastColumn="0" w:noHBand="0" w:noVBand="1"/>
      </w:tblPr>
      <w:tblGrid>
        <w:gridCol w:w="2425"/>
        <w:gridCol w:w="1701"/>
        <w:gridCol w:w="1559"/>
        <w:gridCol w:w="1560"/>
        <w:gridCol w:w="1559"/>
      </w:tblGrid>
      <w:tr w:rsidR="00AE2FFB" w:rsidRPr="00AE2FFB" w:rsidTr="008224B6">
        <w:trPr>
          <w:trHeight w:val="296"/>
        </w:trPr>
        <w:tc>
          <w:tcPr>
            <w:tcW w:w="2425"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AE2FFB" w:rsidRPr="00AE2FFB" w:rsidRDefault="00AE2FFB" w:rsidP="00AE2FFB">
            <w:pPr>
              <w:jc w:val="center"/>
              <w:rPr>
                <w:b/>
                <w:bCs/>
                <w:color w:val="000000"/>
                <w:sz w:val="22"/>
                <w:szCs w:val="22"/>
                <w:lang w:val="es-GT" w:eastAsia="es-GT"/>
              </w:rPr>
            </w:pPr>
            <w:r w:rsidRPr="00AE2FFB">
              <w:rPr>
                <w:b/>
                <w:bCs/>
                <w:color w:val="000000"/>
                <w:sz w:val="22"/>
                <w:szCs w:val="22"/>
                <w:lang w:val="es-GT" w:eastAsia="es-GT"/>
              </w:rPr>
              <w:t>Descripción</w:t>
            </w:r>
          </w:p>
        </w:tc>
        <w:tc>
          <w:tcPr>
            <w:tcW w:w="1701" w:type="dxa"/>
            <w:tcBorders>
              <w:top w:val="single" w:sz="8" w:space="0" w:color="auto"/>
              <w:left w:val="nil"/>
              <w:bottom w:val="single" w:sz="8" w:space="0" w:color="auto"/>
              <w:right w:val="single" w:sz="4" w:space="0" w:color="auto"/>
            </w:tcBorders>
            <w:shd w:val="clear" w:color="000000" w:fill="8DB4E2"/>
            <w:noWrap/>
            <w:vAlign w:val="center"/>
            <w:hideMark/>
          </w:tcPr>
          <w:p w:rsidR="00AE2FFB" w:rsidRPr="00AE2FFB" w:rsidRDefault="00AE2FFB" w:rsidP="00AE2FFB">
            <w:pPr>
              <w:jc w:val="center"/>
              <w:rPr>
                <w:b/>
                <w:bCs/>
                <w:color w:val="000000"/>
                <w:sz w:val="22"/>
                <w:szCs w:val="22"/>
                <w:lang w:val="es-GT" w:eastAsia="es-GT"/>
              </w:rPr>
            </w:pPr>
            <w:r w:rsidRPr="00AE2FFB">
              <w:rPr>
                <w:b/>
                <w:bCs/>
                <w:color w:val="000000"/>
                <w:sz w:val="22"/>
                <w:szCs w:val="22"/>
                <w:lang w:val="es-GT" w:eastAsia="es-GT"/>
              </w:rPr>
              <w:t>2016</w:t>
            </w:r>
          </w:p>
        </w:tc>
        <w:tc>
          <w:tcPr>
            <w:tcW w:w="1559" w:type="dxa"/>
            <w:tcBorders>
              <w:top w:val="single" w:sz="8" w:space="0" w:color="auto"/>
              <w:left w:val="nil"/>
              <w:bottom w:val="single" w:sz="8" w:space="0" w:color="auto"/>
              <w:right w:val="single" w:sz="4" w:space="0" w:color="auto"/>
            </w:tcBorders>
            <w:shd w:val="clear" w:color="000000" w:fill="8DB4E2"/>
            <w:noWrap/>
            <w:vAlign w:val="center"/>
            <w:hideMark/>
          </w:tcPr>
          <w:p w:rsidR="00AE2FFB" w:rsidRPr="00AE2FFB" w:rsidRDefault="00AE2FFB" w:rsidP="00AE2FFB">
            <w:pPr>
              <w:jc w:val="center"/>
              <w:rPr>
                <w:b/>
                <w:bCs/>
                <w:color w:val="000000"/>
                <w:sz w:val="22"/>
                <w:szCs w:val="22"/>
                <w:lang w:val="es-GT" w:eastAsia="es-GT"/>
              </w:rPr>
            </w:pPr>
            <w:r w:rsidRPr="00AE2FFB">
              <w:rPr>
                <w:b/>
                <w:bCs/>
                <w:color w:val="000000"/>
                <w:sz w:val="22"/>
                <w:szCs w:val="22"/>
                <w:lang w:val="es-GT" w:eastAsia="es-GT"/>
              </w:rPr>
              <w:t>2017</w:t>
            </w:r>
          </w:p>
        </w:tc>
        <w:tc>
          <w:tcPr>
            <w:tcW w:w="1560" w:type="dxa"/>
            <w:tcBorders>
              <w:top w:val="single" w:sz="8" w:space="0" w:color="auto"/>
              <w:left w:val="nil"/>
              <w:bottom w:val="single" w:sz="8" w:space="0" w:color="auto"/>
              <w:right w:val="single" w:sz="4" w:space="0" w:color="auto"/>
            </w:tcBorders>
            <w:shd w:val="clear" w:color="000000" w:fill="8DB4E2"/>
            <w:noWrap/>
            <w:vAlign w:val="center"/>
            <w:hideMark/>
          </w:tcPr>
          <w:p w:rsidR="00AE2FFB" w:rsidRPr="00AE2FFB" w:rsidRDefault="00AE2FFB" w:rsidP="00AE2FFB">
            <w:pPr>
              <w:jc w:val="center"/>
              <w:rPr>
                <w:b/>
                <w:bCs/>
                <w:color w:val="000000"/>
                <w:sz w:val="22"/>
                <w:szCs w:val="22"/>
                <w:lang w:val="es-GT" w:eastAsia="es-GT"/>
              </w:rPr>
            </w:pPr>
            <w:r w:rsidRPr="00AE2FFB">
              <w:rPr>
                <w:b/>
                <w:bCs/>
                <w:color w:val="000000"/>
                <w:sz w:val="22"/>
                <w:szCs w:val="22"/>
                <w:lang w:val="es-GT" w:eastAsia="es-GT"/>
              </w:rPr>
              <w:t>2018</w:t>
            </w:r>
          </w:p>
        </w:tc>
        <w:tc>
          <w:tcPr>
            <w:tcW w:w="1559" w:type="dxa"/>
            <w:tcBorders>
              <w:top w:val="single" w:sz="8" w:space="0" w:color="auto"/>
              <w:left w:val="nil"/>
              <w:bottom w:val="single" w:sz="8" w:space="0" w:color="auto"/>
              <w:right w:val="single" w:sz="8" w:space="0" w:color="auto"/>
            </w:tcBorders>
            <w:shd w:val="clear" w:color="000000" w:fill="8DB4E2"/>
            <w:noWrap/>
            <w:vAlign w:val="center"/>
            <w:hideMark/>
          </w:tcPr>
          <w:p w:rsidR="00AE2FFB" w:rsidRPr="00AE2FFB" w:rsidRDefault="00AE2FFB" w:rsidP="00AE2FFB">
            <w:pPr>
              <w:jc w:val="center"/>
              <w:rPr>
                <w:b/>
                <w:bCs/>
                <w:color w:val="000000"/>
                <w:sz w:val="22"/>
                <w:szCs w:val="22"/>
                <w:lang w:val="es-GT" w:eastAsia="es-GT"/>
              </w:rPr>
            </w:pPr>
            <w:r w:rsidRPr="00AE2FFB">
              <w:rPr>
                <w:b/>
                <w:bCs/>
                <w:color w:val="000000"/>
                <w:sz w:val="22"/>
                <w:szCs w:val="22"/>
                <w:lang w:val="es-GT" w:eastAsia="es-GT"/>
              </w:rPr>
              <w:t>2019</w:t>
            </w:r>
          </w:p>
        </w:tc>
      </w:tr>
      <w:tr w:rsidR="00AE2FFB" w:rsidRPr="00AE2FFB" w:rsidTr="006501EF">
        <w:trPr>
          <w:trHeight w:val="363"/>
        </w:trPr>
        <w:tc>
          <w:tcPr>
            <w:tcW w:w="2425" w:type="dxa"/>
            <w:tcBorders>
              <w:top w:val="nil"/>
              <w:left w:val="single" w:sz="8" w:space="0" w:color="auto"/>
              <w:bottom w:val="nil"/>
              <w:right w:val="single" w:sz="4" w:space="0" w:color="auto"/>
            </w:tcBorders>
            <w:shd w:val="clear" w:color="auto" w:fill="auto"/>
            <w:vAlign w:val="bottom"/>
            <w:hideMark/>
          </w:tcPr>
          <w:p w:rsidR="00AE2FFB" w:rsidRPr="00AE2FFB" w:rsidRDefault="00AE2FFB" w:rsidP="00AE2FFB">
            <w:pPr>
              <w:rPr>
                <w:color w:val="000000"/>
                <w:sz w:val="22"/>
                <w:szCs w:val="22"/>
                <w:lang w:val="es-GT" w:eastAsia="es-GT"/>
              </w:rPr>
            </w:pPr>
            <w:r w:rsidRPr="00AE2FFB">
              <w:rPr>
                <w:color w:val="000000"/>
                <w:sz w:val="22"/>
                <w:szCs w:val="22"/>
                <w:lang w:val="es-GT" w:eastAsia="es-GT"/>
              </w:rPr>
              <w:t>Preprimaria</w:t>
            </w:r>
          </w:p>
        </w:tc>
        <w:tc>
          <w:tcPr>
            <w:tcW w:w="1701" w:type="dxa"/>
            <w:tcBorders>
              <w:top w:val="nil"/>
              <w:left w:val="nil"/>
              <w:bottom w:val="nil"/>
              <w:right w:val="single" w:sz="4" w:space="0" w:color="auto"/>
            </w:tcBorders>
            <w:shd w:val="clear" w:color="auto" w:fill="auto"/>
            <w:vAlign w:val="bottom"/>
            <w:hideMark/>
          </w:tcPr>
          <w:p w:rsidR="00AE2FFB" w:rsidRPr="00AE2FFB" w:rsidRDefault="00AE2FFB" w:rsidP="00AE2FFB">
            <w:pPr>
              <w:jc w:val="right"/>
              <w:rPr>
                <w:color w:val="000000"/>
                <w:sz w:val="22"/>
                <w:szCs w:val="22"/>
                <w:lang w:val="es-GT" w:eastAsia="es-GT"/>
              </w:rPr>
            </w:pPr>
            <w:r w:rsidRPr="00AE2FFB">
              <w:rPr>
                <w:color w:val="000000"/>
                <w:sz w:val="22"/>
                <w:szCs w:val="22"/>
                <w:lang w:val="es-GT" w:eastAsia="es-GT"/>
              </w:rPr>
              <w:t>411,765</w:t>
            </w:r>
          </w:p>
        </w:tc>
        <w:tc>
          <w:tcPr>
            <w:tcW w:w="1559" w:type="dxa"/>
            <w:tcBorders>
              <w:top w:val="nil"/>
              <w:left w:val="nil"/>
              <w:bottom w:val="nil"/>
              <w:right w:val="single" w:sz="4" w:space="0" w:color="auto"/>
            </w:tcBorders>
            <w:shd w:val="clear" w:color="auto" w:fill="auto"/>
            <w:vAlign w:val="bottom"/>
            <w:hideMark/>
          </w:tcPr>
          <w:p w:rsidR="00AE2FFB" w:rsidRPr="00AE2FFB" w:rsidRDefault="00AE2FFB" w:rsidP="00AE2FFB">
            <w:pPr>
              <w:jc w:val="right"/>
              <w:rPr>
                <w:color w:val="000000"/>
                <w:sz w:val="22"/>
                <w:szCs w:val="22"/>
                <w:lang w:val="es-GT" w:eastAsia="es-GT"/>
              </w:rPr>
            </w:pPr>
            <w:r w:rsidRPr="00AE2FFB">
              <w:rPr>
                <w:color w:val="000000"/>
                <w:sz w:val="22"/>
                <w:szCs w:val="22"/>
                <w:lang w:val="es-GT" w:eastAsia="es-GT"/>
              </w:rPr>
              <w:t>447,770</w:t>
            </w:r>
          </w:p>
        </w:tc>
        <w:tc>
          <w:tcPr>
            <w:tcW w:w="1560" w:type="dxa"/>
            <w:tcBorders>
              <w:top w:val="nil"/>
              <w:left w:val="nil"/>
              <w:bottom w:val="nil"/>
              <w:right w:val="single" w:sz="4" w:space="0" w:color="auto"/>
            </w:tcBorders>
            <w:shd w:val="clear" w:color="auto" w:fill="auto"/>
            <w:vAlign w:val="bottom"/>
            <w:hideMark/>
          </w:tcPr>
          <w:p w:rsidR="00AE2FFB" w:rsidRPr="00AE2FFB" w:rsidRDefault="00AE2FFB" w:rsidP="00AE2FFB">
            <w:pPr>
              <w:jc w:val="right"/>
              <w:rPr>
                <w:color w:val="000000"/>
                <w:sz w:val="22"/>
                <w:szCs w:val="22"/>
                <w:lang w:val="es-GT" w:eastAsia="es-GT"/>
              </w:rPr>
            </w:pPr>
            <w:r w:rsidRPr="00AE2FFB">
              <w:rPr>
                <w:color w:val="000000"/>
                <w:sz w:val="22"/>
                <w:szCs w:val="22"/>
                <w:lang w:val="es-GT" w:eastAsia="es-GT"/>
              </w:rPr>
              <w:t>475,552</w:t>
            </w:r>
          </w:p>
        </w:tc>
        <w:tc>
          <w:tcPr>
            <w:tcW w:w="1559" w:type="dxa"/>
            <w:tcBorders>
              <w:top w:val="nil"/>
              <w:left w:val="nil"/>
              <w:bottom w:val="nil"/>
              <w:right w:val="single" w:sz="8" w:space="0" w:color="auto"/>
            </w:tcBorders>
            <w:shd w:val="clear" w:color="auto" w:fill="auto"/>
            <w:noWrap/>
            <w:vAlign w:val="bottom"/>
            <w:hideMark/>
          </w:tcPr>
          <w:p w:rsidR="00AE2FFB" w:rsidRPr="00AE2FFB" w:rsidRDefault="00AE2FFB" w:rsidP="00AE2FFB">
            <w:pPr>
              <w:jc w:val="right"/>
              <w:rPr>
                <w:color w:val="000000"/>
                <w:sz w:val="22"/>
                <w:szCs w:val="22"/>
                <w:lang w:val="es-GT" w:eastAsia="es-GT"/>
              </w:rPr>
            </w:pPr>
            <w:r w:rsidRPr="00AE2FFB">
              <w:rPr>
                <w:color w:val="000000"/>
                <w:sz w:val="22"/>
                <w:szCs w:val="22"/>
                <w:lang w:val="es-GT" w:eastAsia="es-GT"/>
              </w:rPr>
              <w:t>500,264</w:t>
            </w:r>
          </w:p>
        </w:tc>
      </w:tr>
      <w:tr w:rsidR="00AE2FFB" w:rsidRPr="00AE2FFB" w:rsidTr="006501EF">
        <w:trPr>
          <w:trHeight w:val="274"/>
        </w:trPr>
        <w:tc>
          <w:tcPr>
            <w:tcW w:w="2425" w:type="dxa"/>
            <w:tcBorders>
              <w:top w:val="nil"/>
              <w:left w:val="single" w:sz="8" w:space="0" w:color="auto"/>
              <w:bottom w:val="nil"/>
              <w:right w:val="single" w:sz="4" w:space="0" w:color="auto"/>
            </w:tcBorders>
            <w:shd w:val="clear" w:color="auto" w:fill="auto"/>
            <w:vAlign w:val="bottom"/>
            <w:hideMark/>
          </w:tcPr>
          <w:p w:rsidR="00AE2FFB" w:rsidRPr="00AE2FFB" w:rsidRDefault="00AE2FFB" w:rsidP="00AE2FFB">
            <w:pPr>
              <w:rPr>
                <w:color w:val="000000"/>
                <w:sz w:val="22"/>
                <w:szCs w:val="22"/>
                <w:lang w:val="es-GT" w:eastAsia="es-GT"/>
              </w:rPr>
            </w:pPr>
            <w:r w:rsidRPr="00AE2FFB">
              <w:rPr>
                <w:color w:val="000000"/>
                <w:sz w:val="22"/>
                <w:szCs w:val="22"/>
                <w:lang w:val="es-GT" w:eastAsia="es-GT"/>
              </w:rPr>
              <w:t>Primaria</w:t>
            </w:r>
          </w:p>
        </w:tc>
        <w:tc>
          <w:tcPr>
            <w:tcW w:w="1701" w:type="dxa"/>
            <w:tcBorders>
              <w:top w:val="nil"/>
              <w:left w:val="nil"/>
              <w:bottom w:val="nil"/>
              <w:right w:val="single" w:sz="4" w:space="0" w:color="auto"/>
            </w:tcBorders>
            <w:shd w:val="clear" w:color="auto" w:fill="auto"/>
            <w:vAlign w:val="bottom"/>
            <w:hideMark/>
          </w:tcPr>
          <w:p w:rsidR="00AE2FFB" w:rsidRPr="00AE2FFB" w:rsidRDefault="00AE2FFB" w:rsidP="00AE2FFB">
            <w:pPr>
              <w:jc w:val="right"/>
              <w:rPr>
                <w:color w:val="000000"/>
                <w:sz w:val="22"/>
                <w:szCs w:val="22"/>
                <w:lang w:val="es-GT" w:eastAsia="es-GT"/>
              </w:rPr>
            </w:pPr>
            <w:r w:rsidRPr="00AE2FFB">
              <w:rPr>
                <w:color w:val="000000"/>
                <w:sz w:val="22"/>
                <w:szCs w:val="22"/>
                <w:lang w:val="es-GT" w:eastAsia="es-GT"/>
              </w:rPr>
              <w:t>1,977,119</w:t>
            </w:r>
          </w:p>
        </w:tc>
        <w:tc>
          <w:tcPr>
            <w:tcW w:w="1559" w:type="dxa"/>
            <w:tcBorders>
              <w:top w:val="nil"/>
              <w:left w:val="nil"/>
              <w:bottom w:val="nil"/>
              <w:right w:val="single" w:sz="4" w:space="0" w:color="auto"/>
            </w:tcBorders>
            <w:shd w:val="clear" w:color="auto" w:fill="auto"/>
            <w:vAlign w:val="bottom"/>
            <w:hideMark/>
          </w:tcPr>
          <w:p w:rsidR="00AE2FFB" w:rsidRPr="00AE2FFB" w:rsidRDefault="00AE2FFB" w:rsidP="00AE2FFB">
            <w:pPr>
              <w:jc w:val="right"/>
              <w:rPr>
                <w:color w:val="000000"/>
                <w:sz w:val="22"/>
                <w:szCs w:val="22"/>
                <w:lang w:val="es-GT" w:eastAsia="es-GT"/>
              </w:rPr>
            </w:pPr>
            <w:r w:rsidRPr="00AE2FFB">
              <w:rPr>
                <w:color w:val="000000"/>
                <w:sz w:val="22"/>
                <w:szCs w:val="22"/>
                <w:lang w:val="es-GT" w:eastAsia="es-GT"/>
              </w:rPr>
              <w:t>1,990,128</w:t>
            </w:r>
          </w:p>
        </w:tc>
        <w:tc>
          <w:tcPr>
            <w:tcW w:w="1560" w:type="dxa"/>
            <w:tcBorders>
              <w:top w:val="nil"/>
              <w:left w:val="nil"/>
              <w:bottom w:val="nil"/>
              <w:right w:val="single" w:sz="4" w:space="0" w:color="auto"/>
            </w:tcBorders>
            <w:shd w:val="clear" w:color="auto" w:fill="auto"/>
            <w:vAlign w:val="bottom"/>
            <w:hideMark/>
          </w:tcPr>
          <w:p w:rsidR="00AE2FFB" w:rsidRPr="00AE2FFB" w:rsidRDefault="00AE2FFB" w:rsidP="00AE2FFB">
            <w:pPr>
              <w:jc w:val="right"/>
              <w:rPr>
                <w:color w:val="000000"/>
                <w:sz w:val="22"/>
                <w:szCs w:val="22"/>
                <w:lang w:val="es-GT" w:eastAsia="es-GT"/>
              </w:rPr>
            </w:pPr>
            <w:r w:rsidRPr="00AE2FFB">
              <w:rPr>
                <w:color w:val="000000"/>
                <w:sz w:val="22"/>
                <w:szCs w:val="22"/>
                <w:lang w:val="es-GT" w:eastAsia="es-GT"/>
              </w:rPr>
              <w:t>1,983,566</w:t>
            </w:r>
          </w:p>
        </w:tc>
        <w:tc>
          <w:tcPr>
            <w:tcW w:w="1559" w:type="dxa"/>
            <w:tcBorders>
              <w:top w:val="nil"/>
              <w:left w:val="nil"/>
              <w:bottom w:val="nil"/>
              <w:right w:val="single" w:sz="8" w:space="0" w:color="auto"/>
            </w:tcBorders>
            <w:shd w:val="clear" w:color="auto" w:fill="auto"/>
            <w:noWrap/>
            <w:vAlign w:val="bottom"/>
            <w:hideMark/>
          </w:tcPr>
          <w:p w:rsidR="00AE2FFB" w:rsidRPr="00AE2FFB" w:rsidRDefault="00AE2FFB" w:rsidP="00AE2FFB">
            <w:pPr>
              <w:jc w:val="right"/>
              <w:rPr>
                <w:color w:val="000000"/>
                <w:sz w:val="22"/>
                <w:szCs w:val="22"/>
                <w:lang w:val="es-GT" w:eastAsia="es-GT"/>
              </w:rPr>
            </w:pPr>
            <w:r w:rsidRPr="00AE2FFB">
              <w:rPr>
                <w:color w:val="000000"/>
                <w:sz w:val="22"/>
                <w:szCs w:val="22"/>
                <w:lang w:val="es-GT" w:eastAsia="es-GT"/>
              </w:rPr>
              <w:t>2,042,971</w:t>
            </w:r>
          </w:p>
        </w:tc>
      </w:tr>
      <w:tr w:rsidR="00AE2FFB" w:rsidRPr="00AE2FFB" w:rsidTr="006501EF">
        <w:trPr>
          <w:trHeight w:val="291"/>
        </w:trPr>
        <w:tc>
          <w:tcPr>
            <w:tcW w:w="2425" w:type="dxa"/>
            <w:tcBorders>
              <w:top w:val="nil"/>
              <w:left w:val="single" w:sz="8" w:space="0" w:color="auto"/>
              <w:bottom w:val="single" w:sz="8" w:space="0" w:color="auto"/>
              <w:right w:val="single" w:sz="4" w:space="0" w:color="auto"/>
            </w:tcBorders>
            <w:shd w:val="clear" w:color="auto" w:fill="auto"/>
            <w:vAlign w:val="bottom"/>
            <w:hideMark/>
          </w:tcPr>
          <w:p w:rsidR="00AE2FFB" w:rsidRPr="00AE2FFB" w:rsidRDefault="00AE2FFB" w:rsidP="00AE2FFB">
            <w:pPr>
              <w:jc w:val="center"/>
              <w:rPr>
                <w:b/>
                <w:bCs/>
                <w:color w:val="000000"/>
                <w:sz w:val="22"/>
                <w:szCs w:val="22"/>
                <w:lang w:val="es-GT" w:eastAsia="es-GT"/>
              </w:rPr>
            </w:pPr>
            <w:r w:rsidRPr="00AE2FFB">
              <w:rPr>
                <w:b/>
                <w:bCs/>
                <w:color w:val="000000"/>
                <w:sz w:val="22"/>
                <w:szCs w:val="22"/>
                <w:lang w:val="es-GT" w:eastAsia="es-GT"/>
              </w:rPr>
              <w:t>Total</w:t>
            </w:r>
          </w:p>
        </w:tc>
        <w:tc>
          <w:tcPr>
            <w:tcW w:w="1701" w:type="dxa"/>
            <w:tcBorders>
              <w:top w:val="nil"/>
              <w:left w:val="single" w:sz="4" w:space="0" w:color="auto"/>
              <w:bottom w:val="single" w:sz="8" w:space="0" w:color="auto"/>
              <w:right w:val="single" w:sz="4" w:space="0" w:color="auto"/>
            </w:tcBorders>
            <w:shd w:val="clear" w:color="auto" w:fill="auto"/>
            <w:vAlign w:val="bottom"/>
            <w:hideMark/>
          </w:tcPr>
          <w:p w:rsidR="00AE2FFB" w:rsidRPr="00AE2FFB" w:rsidRDefault="00AE2FFB" w:rsidP="00AE2FFB">
            <w:pPr>
              <w:jc w:val="right"/>
              <w:rPr>
                <w:b/>
                <w:color w:val="000000"/>
                <w:sz w:val="22"/>
                <w:szCs w:val="22"/>
                <w:lang w:val="es-GT" w:eastAsia="es-GT"/>
              </w:rPr>
            </w:pPr>
            <w:r w:rsidRPr="00AE2FFB">
              <w:rPr>
                <w:b/>
                <w:color w:val="000000"/>
                <w:sz w:val="22"/>
                <w:szCs w:val="22"/>
                <w:lang w:val="es-GT" w:eastAsia="es-GT"/>
              </w:rPr>
              <w:t>2,388,884</w:t>
            </w:r>
          </w:p>
        </w:tc>
        <w:tc>
          <w:tcPr>
            <w:tcW w:w="1559" w:type="dxa"/>
            <w:tcBorders>
              <w:top w:val="nil"/>
              <w:left w:val="nil"/>
              <w:bottom w:val="single" w:sz="8" w:space="0" w:color="auto"/>
              <w:right w:val="single" w:sz="4" w:space="0" w:color="auto"/>
            </w:tcBorders>
            <w:shd w:val="clear" w:color="auto" w:fill="auto"/>
            <w:vAlign w:val="bottom"/>
            <w:hideMark/>
          </w:tcPr>
          <w:p w:rsidR="00AE2FFB" w:rsidRPr="00AE2FFB" w:rsidRDefault="00AE2FFB" w:rsidP="00AE2FFB">
            <w:pPr>
              <w:jc w:val="right"/>
              <w:rPr>
                <w:b/>
                <w:color w:val="000000"/>
                <w:sz w:val="22"/>
                <w:szCs w:val="22"/>
                <w:lang w:val="es-GT" w:eastAsia="es-GT"/>
              </w:rPr>
            </w:pPr>
            <w:r w:rsidRPr="00AE2FFB">
              <w:rPr>
                <w:b/>
                <w:color w:val="000000"/>
                <w:sz w:val="22"/>
                <w:szCs w:val="22"/>
                <w:lang w:val="es-GT" w:eastAsia="es-GT"/>
              </w:rPr>
              <w:t>2,437,898</w:t>
            </w:r>
          </w:p>
        </w:tc>
        <w:tc>
          <w:tcPr>
            <w:tcW w:w="1560" w:type="dxa"/>
            <w:tcBorders>
              <w:top w:val="nil"/>
              <w:left w:val="nil"/>
              <w:bottom w:val="single" w:sz="8" w:space="0" w:color="auto"/>
              <w:right w:val="single" w:sz="4" w:space="0" w:color="auto"/>
            </w:tcBorders>
            <w:shd w:val="clear" w:color="auto" w:fill="auto"/>
            <w:vAlign w:val="bottom"/>
            <w:hideMark/>
          </w:tcPr>
          <w:p w:rsidR="00AE2FFB" w:rsidRPr="00AE2FFB" w:rsidRDefault="00AE2FFB" w:rsidP="00AE2FFB">
            <w:pPr>
              <w:jc w:val="right"/>
              <w:rPr>
                <w:b/>
                <w:color w:val="000000"/>
                <w:sz w:val="22"/>
                <w:szCs w:val="22"/>
                <w:lang w:val="es-GT" w:eastAsia="es-GT"/>
              </w:rPr>
            </w:pPr>
            <w:r w:rsidRPr="00AE2FFB">
              <w:rPr>
                <w:b/>
                <w:color w:val="000000"/>
                <w:sz w:val="22"/>
                <w:szCs w:val="22"/>
                <w:lang w:val="es-GT" w:eastAsia="es-GT"/>
              </w:rPr>
              <w:t>2,459,118</w:t>
            </w:r>
          </w:p>
        </w:tc>
        <w:tc>
          <w:tcPr>
            <w:tcW w:w="1559" w:type="dxa"/>
            <w:tcBorders>
              <w:top w:val="nil"/>
              <w:left w:val="nil"/>
              <w:bottom w:val="single" w:sz="8" w:space="0" w:color="auto"/>
              <w:right w:val="single" w:sz="8" w:space="0" w:color="auto"/>
            </w:tcBorders>
            <w:shd w:val="clear" w:color="auto" w:fill="auto"/>
            <w:noWrap/>
            <w:vAlign w:val="bottom"/>
            <w:hideMark/>
          </w:tcPr>
          <w:p w:rsidR="00AE2FFB" w:rsidRPr="00AE2FFB" w:rsidRDefault="00AE2FFB" w:rsidP="00AE2FFB">
            <w:pPr>
              <w:jc w:val="right"/>
              <w:rPr>
                <w:b/>
                <w:color w:val="000000"/>
                <w:sz w:val="22"/>
                <w:szCs w:val="22"/>
                <w:lang w:val="es-GT" w:eastAsia="es-GT"/>
              </w:rPr>
            </w:pPr>
            <w:r w:rsidRPr="00AE2FFB">
              <w:rPr>
                <w:b/>
                <w:color w:val="000000"/>
                <w:sz w:val="22"/>
                <w:szCs w:val="22"/>
                <w:lang w:val="es-GT" w:eastAsia="es-GT"/>
              </w:rPr>
              <w:t>2,543,235</w:t>
            </w:r>
          </w:p>
        </w:tc>
      </w:tr>
    </w:tbl>
    <w:p w:rsidR="00CC3CAE" w:rsidRPr="004E678D" w:rsidRDefault="00CC3CAE" w:rsidP="00CC3CAE">
      <w:pPr>
        <w:jc w:val="both"/>
        <w:rPr>
          <w:sz w:val="18"/>
        </w:rPr>
      </w:pPr>
      <w:r w:rsidRPr="004E678D">
        <w:rPr>
          <w:sz w:val="18"/>
          <w:lang w:val="es-GT"/>
        </w:rPr>
        <w:t>* Cifras preliminares</w:t>
      </w:r>
    </w:p>
    <w:p w:rsidR="00CC3CAE" w:rsidRPr="004E678D" w:rsidRDefault="00CC3CAE" w:rsidP="00CC3CAE">
      <w:pPr>
        <w:jc w:val="both"/>
        <w:rPr>
          <w:sz w:val="18"/>
        </w:rPr>
      </w:pPr>
      <w:r w:rsidRPr="004E678D">
        <w:rPr>
          <w:sz w:val="18"/>
        </w:rPr>
        <w:t xml:space="preserve">Fuente: </w:t>
      </w:r>
      <w:r w:rsidR="00AE2FFB">
        <w:rPr>
          <w:sz w:val="18"/>
        </w:rPr>
        <w:t>Cuarto</w:t>
      </w:r>
      <w:r>
        <w:rPr>
          <w:sz w:val="18"/>
        </w:rPr>
        <w:t xml:space="preserve"> Informe de Gobierno 201</w:t>
      </w:r>
      <w:r w:rsidR="00AE2FFB">
        <w:rPr>
          <w:sz w:val="18"/>
        </w:rPr>
        <w:t>9-2020</w:t>
      </w:r>
      <w:r>
        <w:rPr>
          <w:sz w:val="18"/>
        </w:rPr>
        <w:t>.</w:t>
      </w:r>
    </w:p>
    <w:p w:rsidR="00872E0D" w:rsidRDefault="00872E0D" w:rsidP="00E24F7B"/>
    <w:p w:rsidR="00CC3CAE" w:rsidRPr="00124AD6" w:rsidRDefault="00CC3CAE" w:rsidP="00CC3CAE">
      <w:pPr>
        <w:jc w:val="center"/>
        <w:rPr>
          <w:b/>
        </w:rPr>
      </w:pPr>
      <w:r w:rsidRPr="00124AD6">
        <w:rPr>
          <w:b/>
        </w:rPr>
        <w:t xml:space="preserve">Cuadro </w:t>
      </w:r>
      <w:r w:rsidR="005F75BB">
        <w:rPr>
          <w:b/>
        </w:rPr>
        <w:t>11</w:t>
      </w:r>
    </w:p>
    <w:p w:rsidR="00600BF6" w:rsidRDefault="00600BF6" w:rsidP="00CC3CAE">
      <w:pPr>
        <w:jc w:val="center"/>
        <w:rPr>
          <w:b/>
        </w:rPr>
      </w:pPr>
      <w:r>
        <w:rPr>
          <w:b/>
        </w:rPr>
        <w:t xml:space="preserve">Raciones </w:t>
      </w:r>
      <w:r w:rsidR="00404D10">
        <w:rPr>
          <w:b/>
        </w:rPr>
        <w:t>A</w:t>
      </w:r>
      <w:r>
        <w:rPr>
          <w:b/>
        </w:rPr>
        <w:t xml:space="preserve">limenticias </w:t>
      </w:r>
      <w:r w:rsidR="00404D10">
        <w:rPr>
          <w:b/>
        </w:rPr>
        <w:t>E</w:t>
      </w:r>
      <w:r>
        <w:rPr>
          <w:b/>
        </w:rPr>
        <w:t xml:space="preserve">ntregadas por </w:t>
      </w:r>
      <w:r w:rsidR="00404D10">
        <w:rPr>
          <w:b/>
        </w:rPr>
        <w:t>A</w:t>
      </w:r>
      <w:r>
        <w:rPr>
          <w:b/>
        </w:rPr>
        <w:t xml:space="preserve">cciones </w:t>
      </w:r>
      <w:r w:rsidR="00404D10">
        <w:rPr>
          <w:b/>
        </w:rPr>
        <w:t>de</w:t>
      </w:r>
      <w:r>
        <w:rPr>
          <w:b/>
        </w:rPr>
        <w:t xml:space="preserve"> </w:t>
      </w:r>
      <w:r w:rsidR="00404D10">
        <w:rPr>
          <w:b/>
        </w:rPr>
        <w:t>B</w:t>
      </w:r>
      <w:r>
        <w:rPr>
          <w:b/>
        </w:rPr>
        <w:t xml:space="preserve">eneficio </w:t>
      </w:r>
      <w:r w:rsidR="00404D10">
        <w:rPr>
          <w:b/>
        </w:rPr>
        <w:t>C</w:t>
      </w:r>
      <w:r>
        <w:rPr>
          <w:b/>
        </w:rPr>
        <w:t>omunal</w:t>
      </w:r>
    </w:p>
    <w:p w:rsidR="00600BF6" w:rsidRDefault="00CC3CAE" w:rsidP="00CC3CAE">
      <w:pPr>
        <w:jc w:val="center"/>
        <w:rPr>
          <w:b/>
        </w:rPr>
      </w:pPr>
      <w:r>
        <w:rPr>
          <w:b/>
        </w:rPr>
        <w:t>Ejercicio Fiscal 201</w:t>
      </w:r>
      <w:r w:rsidR="00600BF6">
        <w:rPr>
          <w:b/>
        </w:rPr>
        <w:t>9</w:t>
      </w:r>
      <w:r w:rsidR="00A7285A">
        <w:rPr>
          <w:b/>
        </w:rPr>
        <w:t>*</w:t>
      </w:r>
    </w:p>
    <w:tbl>
      <w:tblPr>
        <w:tblW w:w="7000" w:type="dxa"/>
        <w:jc w:val="center"/>
        <w:tblInd w:w="55" w:type="dxa"/>
        <w:tblCellMar>
          <w:left w:w="70" w:type="dxa"/>
          <w:right w:w="70" w:type="dxa"/>
        </w:tblCellMar>
        <w:tblLook w:val="04A0" w:firstRow="1" w:lastRow="0" w:firstColumn="1" w:lastColumn="0" w:noHBand="0" w:noVBand="1"/>
      </w:tblPr>
      <w:tblGrid>
        <w:gridCol w:w="3759"/>
        <w:gridCol w:w="3241"/>
      </w:tblGrid>
      <w:tr w:rsidR="00600BF6" w:rsidRPr="00600BF6" w:rsidTr="008224B6">
        <w:trPr>
          <w:trHeight w:val="382"/>
          <w:jc w:val="center"/>
        </w:trPr>
        <w:tc>
          <w:tcPr>
            <w:tcW w:w="3759"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600BF6" w:rsidRPr="00600BF6" w:rsidRDefault="00600BF6" w:rsidP="00600BF6">
            <w:pPr>
              <w:jc w:val="center"/>
              <w:rPr>
                <w:b/>
                <w:bCs/>
                <w:color w:val="000000"/>
                <w:szCs w:val="22"/>
                <w:lang w:val="es-GT" w:eastAsia="es-GT"/>
              </w:rPr>
            </w:pPr>
            <w:r w:rsidRPr="00600BF6">
              <w:rPr>
                <w:b/>
                <w:bCs/>
                <w:color w:val="000000"/>
                <w:szCs w:val="22"/>
                <w:lang w:val="es-GT" w:eastAsia="es-GT"/>
              </w:rPr>
              <w:t>Departamento</w:t>
            </w:r>
          </w:p>
        </w:tc>
        <w:tc>
          <w:tcPr>
            <w:tcW w:w="3241" w:type="dxa"/>
            <w:tcBorders>
              <w:top w:val="single" w:sz="8" w:space="0" w:color="auto"/>
              <w:left w:val="nil"/>
              <w:bottom w:val="single" w:sz="8" w:space="0" w:color="auto"/>
              <w:right w:val="single" w:sz="8" w:space="0" w:color="auto"/>
            </w:tcBorders>
            <w:shd w:val="clear" w:color="000000" w:fill="8DB4E2"/>
            <w:vAlign w:val="center"/>
            <w:hideMark/>
          </w:tcPr>
          <w:p w:rsidR="00600BF6" w:rsidRPr="00600BF6" w:rsidRDefault="00600BF6" w:rsidP="00600BF6">
            <w:pPr>
              <w:jc w:val="center"/>
              <w:rPr>
                <w:b/>
                <w:bCs/>
                <w:color w:val="000000"/>
                <w:szCs w:val="22"/>
                <w:lang w:val="es-GT" w:eastAsia="es-GT"/>
              </w:rPr>
            </w:pPr>
            <w:r w:rsidRPr="00600BF6">
              <w:rPr>
                <w:b/>
                <w:bCs/>
                <w:color w:val="000000"/>
                <w:szCs w:val="22"/>
                <w:lang w:val="es-GT" w:eastAsia="es-GT"/>
              </w:rPr>
              <w:t>Raciones</w:t>
            </w:r>
          </w:p>
        </w:tc>
      </w:tr>
      <w:tr w:rsidR="00600BF6" w:rsidRPr="00600BF6" w:rsidTr="00600BF6">
        <w:trPr>
          <w:trHeight w:val="234"/>
          <w:jc w:val="center"/>
        </w:trPr>
        <w:tc>
          <w:tcPr>
            <w:tcW w:w="3759" w:type="dxa"/>
            <w:tcBorders>
              <w:top w:val="nil"/>
              <w:left w:val="single" w:sz="8" w:space="0" w:color="auto"/>
              <w:bottom w:val="nil"/>
              <w:right w:val="single" w:sz="4" w:space="0" w:color="auto"/>
            </w:tcBorders>
            <w:shd w:val="clear" w:color="000000" w:fill="FFFFFF"/>
            <w:noWrap/>
            <w:vAlign w:val="center"/>
            <w:hideMark/>
          </w:tcPr>
          <w:p w:rsidR="00600BF6" w:rsidRPr="00600BF6" w:rsidRDefault="00600BF6" w:rsidP="00600BF6">
            <w:pPr>
              <w:jc w:val="center"/>
              <w:rPr>
                <w:b/>
                <w:bCs/>
                <w:color w:val="000000"/>
                <w:szCs w:val="22"/>
                <w:lang w:val="es-GT" w:eastAsia="es-GT"/>
              </w:rPr>
            </w:pPr>
            <w:r w:rsidRPr="00600BF6">
              <w:rPr>
                <w:b/>
                <w:bCs/>
                <w:color w:val="000000"/>
                <w:szCs w:val="22"/>
                <w:lang w:val="es-GT" w:eastAsia="es-GT"/>
              </w:rPr>
              <w:t>Total</w:t>
            </w:r>
          </w:p>
        </w:tc>
        <w:tc>
          <w:tcPr>
            <w:tcW w:w="3241" w:type="dxa"/>
            <w:tcBorders>
              <w:top w:val="nil"/>
              <w:left w:val="nil"/>
              <w:bottom w:val="nil"/>
              <w:right w:val="single" w:sz="8" w:space="0" w:color="auto"/>
            </w:tcBorders>
            <w:shd w:val="clear" w:color="000000" w:fill="FFFFFF"/>
            <w:vAlign w:val="center"/>
            <w:hideMark/>
          </w:tcPr>
          <w:p w:rsidR="00600BF6" w:rsidRPr="00600BF6" w:rsidRDefault="00600BF6" w:rsidP="00600BF6">
            <w:pPr>
              <w:jc w:val="center"/>
              <w:rPr>
                <w:b/>
                <w:bCs/>
                <w:color w:val="000000"/>
                <w:szCs w:val="22"/>
                <w:lang w:val="es-GT" w:eastAsia="es-GT"/>
              </w:rPr>
            </w:pPr>
            <w:r w:rsidRPr="00600BF6">
              <w:rPr>
                <w:b/>
                <w:bCs/>
                <w:color w:val="000000"/>
                <w:szCs w:val="22"/>
                <w:lang w:val="es-GT" w:eastAsia="es-GT"/>
              </w:rPr>
              <w:t>90,179</w:t>
            </w:r>
          </w:p>
        </w:tc>
      </w:tr>
      <w:tr w:rsidR="00600BF6" w:rsidRPr="00600BF6" w:rsidTr="008224B6">
        <w:trPr>
          <w:trHeight w:val="82"/>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Alta Verapaz</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1,879</w:t>
            </w:r>
          </w:p>
        </w:tc>
      </w:tr>
      <w:tr w:rsidR="00600BF6" w:rsidRPr="00600BF6" w:rsidTr="00600BF6">
        <w:trPr>
          <w:trHeight w:val="290"/>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Baja Verapaz</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6,015</w:t>
            </w:r>
          </w:p>
        </w:tc>
      </w:tr>
      <w:tr w:rsidR="00600BF6" w:rsidRPr="00600BF6" w:rsidTr="00600BF6">
        <w:trPr>
          <w:trHeight w:val="281"/>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El Progreso</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374</w:t>
            </w:r>
          </w:p>
        </w:tc>
      </w:tr>
      <w:tr w:rsidR="00600BF6" w:rsidRPr="00600BF6" w:rsidTr="00600BF6">
        <w:trPr>
          <w:trHeight w:val="284"/>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Escuintla</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3,352</w:t>
            </w:r>
          </w:p>
        </w:tc>
      </w:tr>
      <w:tr w:rsidR="00600BF6" w:rsidRPr="00600BF6" w:rsidTr="00600BF6">
        <w:trPr>
          <w:trHeight w:val="275"/>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Guatemala</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12,848</w:t>
            </w:r>
          </w:p>
        </w:tc>
      </w:tr>
      <w:tr w:rsidR="00600BF6" w:rsidRPr="00600BF6" w:rsidTr="00600BF6">
        <w:trPr>
          <w:trHeight w:val="278"/>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Huehuetenango</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4,699</w:t>
            </w:r>
          </w:p>
        </w:tc>
      </w:tr>
      <w:tr w:rsidR="00600BF6" w:rsidRPr="00600BF6" w:rsidTr="00600BF6">
        <w:trPr>
          <w:trHeight w:val="296"/>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Jalapa</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8,647</w:t>
            </w:r>
          </w:p>
        </w:tc>
      </w:tr>
      <w:tr w:rsidR="00600BF6" w:rsidRPr="00600BF6" w:rsidTr="00600BF6">
        <w:trPr>
          <w:trHeight w:val="286"/>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Jutiapa</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2,019</w:t>
            </w:r>
          </w:p>
        </w:tc>
      </w:tr>
      <w:tr w:rsidR="00600BF6" w:rsidRPr="00600BF6" w:rsidTr="00600BF6">
        <w:trPr>
          <w:trHeight w:val="135"/>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Petén</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11,672</w:t>
            </w:r>
          </w:p>
        </w:tc>
      </w:tr>
      <w:tr w:rsidR="00600BF6" w:rsidRPr="00600BF6" w:rsidTr="00600BF6">
        <w:trPr>
          <w:trHeight w:val="166"/>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Quetzaltenango</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2,227</w:t>
            </w:r>
          </w:p>
        </w:tc>
      </w:tr>
      <w:tr w:rsidR="00600BF6" w:rsidRPr="00600BF6" w:rsidTr="00600BF6">
        <w:trPr>
          <w:trHeight w:val="198"/>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Quiché</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1,849</w:t>
            </w:r>
          </w:p>
        </w:tc>
      </w:tr>
      <w:tr w:rsidR="00600BF6" w:rsidRPr="00600BF6" w:rsidTr="00600BF6">
        <w:trPr>
          <w:trHeight w:val="230"/>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Retalhuleu</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7,416</w:t>
            </w:r>
          </w:p>
        </w:tc>
      </w:tr>
      <w:tr w:rsidR="00600BF6" w:rsidRPr="00600BF6" w:rsidTr="00600BF6">
        <w:trPr>
          <w:trHeight w:val="120"/>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San Marcos</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3,148</w:t>
            </w:r>
          </w:p>
        </w:tc>
      </w:tr>
      <w:tr w:rsidR="00600BF6" w:rsidRPr="00600BF6" w:rsidTr="00600BF6">
        <w:trPr>
          <w:trHeight w:val="152"/>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Santa Rosa</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7,861</w:t>
            </w:r>
          </w:p>
        </w:tc>
      </w:tr>
      <w:tr w:rsidR="00600BF6" w:rsidRPr="00600BF6" w:rsidTr="00600BF6">
        <w:trPr>
          <w:trHeight w:val="184"/>
          <w:jc w:val="center"/>
        </w:trPr>
        <w:tc>
          <w:tcPr>
            <w:tcW w:w="3759" w:type="dxa"/>
            <w:tcBorders>
              <w:top w:val="nil"/>
              <w:left w:val="single" w:sz="8" w:space="0" w:color="auto"/>
              <w:bottom w:val="nil"/>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Sololá</w:t>
            </w:r>
          </w:p>
        </w:tc>
        <w:tc>
          <w:tcPr>
            <w:tcW w:w="3241" w:type="dxa"/>
            <w:tcBorders>
              <w:top w:val="nil"/>
              <w:left w:val="nil"/>
              <w:bottom w:val="nil"/>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6,422</w:t>
            </w:r>
          </w:p>
        </w:tc>
      </w:tr>
      <w:tr w:rsidR="00600BF6" w:rsidRPr="00600BF6" w:rsidTr="00600BF6">
        <w:trPr>
          <w:trHeight w:val="230"/>
          <w:jc w:val="center"/>
        </w:trPr>
        <w:tc>
          <w:tcPr>
            <w:tcW w:w="3759" w:type="dxa"/>
            <w:tcBorders>
              <w:top w:val="nil"/>
              <w:left w:val="single" w:sz="8" w:space="0" w:color="auto"/>
              <w:bottom w:val="single" w:sz="8" w:space="0" w:color="auto"/>
              <w:right w:val="single" w:sz="4" w:space="0" w:color="auto"/>
            </w:tcBorders>
            <w:shd w:val="clear" w:color="auto" w:fill="auto"/>
            <w:noWrap/>
            <w:vAlign w:val="bottom"/>
            <w:hideMark/>
          </w:tcPr>
          <w:p w:rsidR="00600BF6" w:rsidRPr="00600BF6" w:rsidRDefault="00600BF6" w:rsidP="00600BF6">
            <w:pPr>
              <w:rPr>
                <w:color w:val="000000"/>
                <w:szCs w:val="22"/>
                <w:lang w:val="es-GT" w:eastAsia="es-GT"/>
              </w:rPr>
            </w:pPr>
            <w:r w:rsidRPr="00600BF6">
              <w:rPr>
                <w:color w:val="000000"/>
                <w:szCs w:val="22"/>
                <w:lang w:val="es-GT" w:eastAsia="es-GT"/>
              </w:rPr>
              <w:t>Zacapa</w:t>
            </w:r>
          </w:p>
        </w:tc>
        <w:tc>
          <w:tcPr>
            <w:tcW w:w="3241" w:type="dxa"/>
            <w:tcBorders>
              <w:top w:val="nil"/>
              <w:left w:val="single" w:sz="4" w:space="0" w:color="auto"/>
              <w:bottom w:val="single" w:sz="8" w:space="0" w:color="auto"/>
              <w:right w:val="single" w:sz="8" w:space="0" w:color="auto"/>
            </w:tcBorders>
            <w:shd w:val="clear" w:color="auto" w:fill="auto"/>
            <w:noWrap/>
            <w:vAlign w:val="bottom"/>
            <w:hideMark/>
          </w:tcPr>
          <w:p w:rsidR="00600BF6" w:rsidRPr="00600BF6" w:rsidRDefault="00600BF6" w:rsidP="00600BF6">
            <w:pPr>
              <w:jc w:val="center"/>
              <w:rPr>
                <w:color w:val="000000"/>
                <w:szCs w:val="22"/>
                <w:lang w:val="es-GT" w:eastAsia="es-GT"/>
              </w:rPr>
            </w:pPr>
            <w:r w:rsidRPr="00600BF6">
              <w:rPr>
                <w:color w:val="000000"/>
                <w:szCs w:val="22"/>
                <w:lang w:val="es-GT" w:eastAsia="es-GT"/>
              </w:rPr>
              <w:t>9,751</w:t>
            </w:r>
          </w:p>
        </w:tc>
      </w:tr>
    </w:tbl>
    <w:p w:rsidR="00600BF6" w:rsidRPr="004E678D" w:rsidRDefault="00600BF6" w:rsidP="00404D10">
      <w:pPr>
        <w:ind w:left="1134"/>
        <w:jc w:val="both"/>
        <w:rPr>
          <w:sz w:val="18"/>
        </w:rPr>
      </w:pPr>
      <w:r w:rsidRPr="004E678D">
        <w:rPr>
          <w:sz w:val="18"/>
          <w:lang w:val="es-GT"/>
        </w:rPr>
        <w:t>* Cifras preliminares</w:t>
      </w:r>
    </w:p>
    <w:p w:rsidR="00600BF6" w:rsidRPr="004E678D" w:rsidRDefault="00600BF6" w:rsidP="00404D10">
      <w:pPr>
        <w:ind w:left="1134"/>
        <w:jc w:val="both"/>
        <w:rPr>
          <w:sz w:val="18"/>
        </w:rPr>
      </w:pPr>
      <w:r w:rsidRPr="004E678D">
        <w:rPr>
          <w:sz w:val="18"/>
        </w:rPr>
        <w:t xml:space="preserve">Fuente: </w:t>
      </w:r>
      <w:r>
        <w:rPr>
          <w:sz w:val="18"/>
        </w:rPr>
        <w:t>Cuarto Informe de Gobierno 2019-2020.</w:t>
      </w:r>
    </w:p>
    <w:p w:rsidR="002C3A6A" w:rsidRPr="00124AD6" w:rsidRDefault="002C3A6A" w:rsidP="002C3A6A">
      <w:pPr>
        <w:jc w:val="center"/>
        <w:rPr>
          <w:b/>
        </w:rPr>
      </w:pPr>
      <w:r w:rsidRPr="00124AD6">
        <w:rPr>
          <w:b/>
        </w:rPr>
        <w:lastRenderedPageBreak/>
        <w:t xml:space="preserve">Cuadro </w:t>
      </w:r>
      <w:r w:rsidR="00D8680B">
        <w:rPr>
          <w:b/>
        </w:rPr>
        <w:t>1</w:t>
      </w:r>
      <w:r w:rsidR="005F75BB">
        <w:rPr>
          <w:b/>
        </w:rPr>
        <w:t>2</w:t>
      </w:r>
    </w:p>
    <w:p w:rsidR="002C3A6A" w:rsidRPr="00124AD6" w:rsidRDefault="00A7285A" w:rsidP="002C3A6A">
      <w:pPr>
        <w:jc w:val="center"/>
        <w:rPr>
          <w:b/>
        </w:rPr>
      </w:pPr>
      <w:r>
        <w:rPr>
          <w:b/>
        </w:rPr>
        <w:t xml:space="preserve">Cupones </w:t>
      </w:r>
      <w:r w:rsidR="00404D10">
        <w:rPr>
          <w:b/>
        </w:rPr>
        <w:t>E</w:t>
      </w:r>
      <w:r>
        <w:rPr>
          <w:b/>
        </w:rPr>
        <w:t xml:space="preserve">ntregados a </w:t>
      </w:r>
      <w:r w:rsidR="00404D10">
        <w:rPr>
          <w:b/>
        </w:rPr>
        <w:t>P</w:t>
      </w:r>
      <w:r>
        <w:rPr>
          <w:b/>
        </w:rPr>
        <w:t xml:space="preserve">oblación </w:t>
      </w:r>
      <w:r w:rsidR="00404D10">
        <w:rPr>
          <w:b/>
        </w:rPr>
        <w:t>A</w:t>
      </w:r>
      <w:r>
        <w:rPr>
          <w:b/>
        </w:rPr>
        <w:t xml:space="preserve">fectada por </w:t>
      </w:r>
      <w:r w:rsidR="00404D10">
        <w:rPr>
          <w:b/>
        </w:rPr>
        <w:t>el H</w:t>
      </w:r>
      <w:r>
        <w:rPr>
          <w:b/>
        </w:rPr>
        <w:t xml:space="preserve">ambre </w:t>
      </w:r>
      <w:r w:rsidR="00404D10">
        <w:rPr>
          <w:b/>
        </w:rPr>
        <w:t>E</w:t>
      </w:r>
      <w:r>
        <w:rPr>
          <w:b/>
        </w:rPr>
        <w:t>stacional</w:t>
      </w:r>
    </w:p>
    <w:p w:rsidR="00A7285A" w:rsidRDefault="002C3A6A" w:rsidP="002C3A6A">
      <w:pPr>
        <w:jc w:val="center"/>
        <w:rPr>
          <w:b/>
        </w:rPr>
      </w:pPr>
      <w:r>
        <w:rPr>
          <w:b/>
        </w:rPr>
        <w:t>Ejercicio Fiscal 201</w:t>
      </w:r>
      <w:r w:rsidR="00A7285A">
        <w:rPr>
          <w:b/>
        </w:rPr>
        <w:t>9</w:t>
      </w:r>
      <w:r w:rsidR="008042B8">
        <w:rPr>
          <w:b/>
        </w:rPr>
        <w:t>*</w:t>
      </w:r>
    </w:p>
    <w:tbl>
      <w:tblPr>
        <w:tblW w:w="7400" w:type="dxa"/>
        <w:jc w:val="center"/>
        <w:tblCellMar>
          <w:left w:w="70" w:type="dxa"/>
          <w:right w:w="70" w:type="dxa"/>
        </w:tblCellMar>
        <w:tblLook w:val="04A0" w:firstRow="1" w:lastRow="0" w:firstColumn="1" w:lastColumn="0" w:noHBand="0" w:noVBand="1"/>
      </w:tblPr>
      <w:tblGrid>
        <w:gridCol w:w="4060"/>
        <w:gridCol w:w="3340"/>
      </w:tblGrid>
      <w:tr w:rsidR="00A7285A" w:rsidRPr="00A7285A" w:rsidTr="00404D10">
        <w:trPr>
          <w:trHeight w:val="750"/>
          <w:jc w:val="center"/>
        </w:trPr>
        <w:tc>
          <w:tcPr>
            <w:tcW w:w="4060"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A7285A" w:rsidRPr="00A7285A" w:rsidRDefault="00A7285A" w:rsidP="00A7285A">
            <w:pPr>
              <w:jc w:val="center"/>
              <w:rPr>
                <w:b/>
                <w:bCs/>
                <w:color w:val="000000"/>
                <w:lang w:val="es-GT" w:eastAsia="es-GT"/>
              </w:rPr>
            </w:pPr>
            <w:r w:rsidRPr="00A7285A">
              <w:rPr>
                <w:b/>
                <w:bCs/>
                <w:color w:val="000000"/>
                <w:lang w:val="es-GT" w:eastAsia="es-GT"/>
              </w:rPr>
              <w:t>Departamento</w:t>
            </w:r>
          </w:p>
        </w:tc>
        <w:tc>
          <w:tcPr>
            <w:tcW w:w="3340" w:type="dxa"/>
            <w:tcBorders>
              <w:top w:val="single" w:sz="8" w:space="0" w:color="auto"/>
              <w:left w:val="nil"/>
              <w:bottom w:val="single" w:sz="8" w:space="0" w:color="auto"/>
              <w:right w:val="single" w:sz="8" w:space="0" w:color="auto"/>
            </w:tcBorders>
            <w:shd w:val="clear" w:color="000000" w:fill="8DB4E2"/>
            <w:vAlign w:val="center"/>
            <w:hideMark/>
          </w:tcPr>
          <w:p w:rsidR="00A7285A" w:rsidRPr="00A7285A" w:rsidRDefault="00A7285A" w:rsidP="00A7285A">
            <w:pPr>
              <w:jc w:val="center"/>
              <w:rPr>
                <w:b/>
                <w:bCs/>
                <w:color w:val="000000"/>
                <w:lang w:val="es-GT" w:eastAsia="es-GT"/>
              </w:rPr>
            </w:pPr>
            <w:r w:rsidRPr="00A7285A">
              <w:rPr>
                <w:b/>
                <w:bCs/>
                <w:color w:val="000000"/>
                <w:lang w:val="es-GT" w:eastAsia="es-GT"/>
              </w:rPr>
              <w:t>Cupones</w:t>
            </w:r>
          </w:p>
        </w:tc>
      </w:tr>
      <w:tr w:rsidR="00A7285A" w:rsidRPr="00A7285A" w:rsidTr="00404D10">
        <w:trPr>
          <w:trHeight w:val="344"/>
          <w:jc w:val="center"/>
        </w:trPr>
        <w:tc>
          <w:tcPr>
            <w:tcW w:w="4060" w:type="dxa"/>
            <w:tcBorders>
              <w:top w:val="nil"/>
              <w:left w:val="single" w:sz="8" w:space="0" w:color="auto"/>
              <w:bottom w:val="nil"/>
              <w:right w:val="single" w:sz="4" w:space="0" w:color="auto"/>
            </w:tcBorders>
            <w:shd w:val="clear" w:color="000000" w:fill="FFFFFF"/>
            <w:noWrap/>
            <w:vAlign w:val="center"/>
            <w:hideMark/>
          </w:tcPr>
          <w:p w:rsidR="00A7285A" w:rsidRPr="00A7285A" w:rsidRDefault="00A7285A" w:rsidP="00A7285A">
            <w:pPr>
              <w:jc w:val="center"/>
              <w:rPr>
                <w:b/>
                <w:bCs/>
                <w:color w:val="000000"/>
                <w:lang w:val="es-GT" w:eastAsia="es-GT"/>
              </w:rPr>
            </w:pPr>
            <w:r w:rsidRPr="00A7285A">
              <w:rPr>
                <w:b/>
                <w:bCs/>
                <w:color w:val="000000"/>
                <w:lang w:val="es-GT" w:eastAsia="es-GT"/>
              </w:rPr>
              <w:t>Total</w:t>
            </w:r>
          </w:p>
        </w:tc>
        <w:tc>
          <w:tcPr>
            <w:tcW w:w="3340" w:type="dxa"/>
            <w:tcBorders>
              <w:top w:val="nil"/>
              <w:left w:val="nil"/>
              <w:bottom w:val="nil"/>
              <w:right w:val="single" w:sz="8" w:space="0" w:color="auto"/>
            </w:tcBorders>
            <w:shd w:val="clear" w:color="000000" w:fill="FFFFFF"/>
            <w:vAlign w:val="center"/>
            <w:hideMark/>
          </w:tcPr>
          <w:p w:rsidR="00A7285A" w:rsidRPr="00A7285A" w:rsidRDefault="00A7285A" w:rsidP="00A7285A">
            <w:pPr>
              <w:jc w:val="center"/>
              <w:rPr>
                <w:b/>
                <w:bCs/>
                <w:color w:val="000000"/>
                <w:lang w:val="es-GT" w:eastAsia="es-GT"/>
              </w:rPr>
            </w:pPr>
            <w:r w:rsidRPr="00A7285A">
              <w:rPr>
                <w:b/>
                <w:bCs/>
                <w:color w:val="000000"/>
                <w:lang w:val="es-GT" w:eastAsia="es-GT"/>
              </w:rPr>
              <w:t>261,800</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Alta Verapaz</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34,084</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Baja Verapaz</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6,103</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Chimaltenango</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11,687</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Chiquimula</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6,385</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El Progreso</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1,153</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Escuintla</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17,279</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Guatemala</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12,172</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Huehuetenango</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7,680</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Izabal</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966</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Jalapa</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19,541</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Jutiapa</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39,490</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Petén</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1,866</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Quetzaltenango</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14,014</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Quiché</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3,135</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Retalhuleu</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10,195</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Sacatepéquez</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121</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San Marcos</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31,860</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Santa Rosa</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12,644</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Sololá</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6,243</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Suchitepéquez</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15,278</w:t>
            </w:r>
          </w:p>
        </w:tc>
      </w:tr>
      <w:tr w:rsidR="00A7285A" w:rsidRPr="00A7285A" w:rsidTr="00404D10">
        <w:trPr>
          <w:trHeight w:val="454"/>
          <w:jc w:val="center"/>
        </w:trPr>
        <w:tc>
          <w:tcPr>
            <w:tcW w:w="4060"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Totonicapán</w:t>
            </w:r>
          </w:p>
        </w:tc>
        <w:tc>
          <w:tcPr>
            <w:tcW w:w="3340"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3,384</w:t>
            </w:r>
          </w:p>
        </w:tc>
      </w:tr>
      <w:tr w:rsidR="00A7285A" w:rsidRPr="00A7285A" w:rsidTr="00404D10">
        <w:trPr>
          <w:trHeight w:val="454"/>
          <w:jc w:val="center"/>
        </w:trPr>
        <w:tc>
          <w:tcPr>
            <w:tcW w:w="4060" w:type="dxa"/>
            <w:tcBorders>
              <w:top w:val="nil"/>
              <w:left w:val="single" w:sz="8" w:space="0" w:color="auto"/>
              <w:bottom w:val="single" w:sz="8" w:space="0" w:color="auto"/>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Zacapa</w:t>
            </w:r>
          </w:p>
        </w:tc>
        <w:tc>
          <w:tcPr>
            <w:tcW w:w="3340" w:type="dxa"/>
            <w:tcBorders>
              <w:top w:val="nil"/>
              <w:left w:val="single" w:sz="4" w:space="0" w:color="auto"/>
              <w:bottom w:val="single" w:sz="8" w:space="0" w:color="auto"/>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6,520</w:t>
            </w:r>
          </w:p>
        </w:tc>
      </w:tr>
    </w:tbl>
    <w:p w:rsidR="002C3A6A" w:rsidRPr="004E678D" w:rsidRDefault="002C3A6A" w:rsidP="002C3A6A">
      <w:pPr>
        <w:jc w:val="both"/>
        <w:rPr>
          <w:sz w:val="18"/>
        </w:rPr>
      </w:pPr>
      <w:r>
        <w:t xml:space="preserve">     </w:t>
      </w:r>
      <w:r w:rsidR="00404D10">
        <w:t xml:space="preserve">   </w:t>
      </w:r>
      <w:r>
        <w:t xml:space="preserve">       </w:t>
      </w:r>
      <w:r w:rsidRPr="004E678D">
        <w:rPr>
          <w:sz w:val="18"/>
          <w:lang w:val="es-GT"/>
        </w:rPr>
        <w:t>* Cifras preliminares</w:t>
      </w:r>
    </w:p>
    <w:p w:rsidR="00CC3CAE" w:rsidRDefault="002C3A6A" w:rsidP="002C3A6A">
      <w:r>
        <w:rPr>
          <w:sz w:val="18"/>
        </w:rPr>
        <w:t xml:space="preserve">           </w:t>
      </w:r>
      <w:r w:rsidR="00404D10">
        <w:rPr>
          <w:sz w:val="18"/>
        </w:rPr>
        <w:t xml:space="preserve">      </w:t>
      </w:r>
      <w:r>
        <w:rPr>
          <w:sz w:val="18"/>
        </w:rPr>
        <w:t xml:space="preserve"> </w:t>
      </w:r>
      <w:r w:rsidR="00B114E4">
        <w:rPr>
          <w:sz w:val="18"/>
        </w:rPr>
        <w:t xml:space="preserve"> </w:t>
      </w:r>
      <w:r>
        <w:rPr>
          <w:sz w:val="18"/>
        </w:rPr>
        <w:t xml:space="preserve">    </w:t>
      </w:r>
      <w:r w:rsidRPr="004E678D">
        <w:rPr>
          <w:sz w:val="18"/>
        </w:rPr>
        <w:t xml:space="preserve">Fuente: </w:t>
      </w:r>
      <w:r w:rsidR="00A7285A">
        <w:rPr>
          <w:sz w:val="18"/>
        </w:rPr>
        <w:t>Cuarto</w:t>
      </w:r>
      <w:r>
        <w:rPr>
          <w:sz w:val="18"/>
        </w:rPr>
        <w:t xml:space="preserve"> Informe de Gobierno 201</w:t>
      </w:r>
      <w:r w:rsidR="00A7285A">
        <w:rPr>
          <w:sz w:val="18"/>
        </w:rPr>
        <w:t>9-2020</w:t>
      </w:r>
      <w:r>
        <w:rPr>
          <w:sz w:val="18"/>
        </w:rPr>
        <w:t>.</w:t>
      </w:r>
    </w:p>
    <w:p w:rsidR="00480617" w:rsidRPr="00124AD6" w:rsidRDefault="00480617" w:rsidP="00480617">
      <w:pPr>
        <w:jc w:val="center"/>
        <w:rPr>
          <w:b/>
        </w:rPr>
      </w:pPr>
      <w:r w:rsidRPr="00124AD6">
        <w:rPr>
          <w:b/>
        </w:rPr>
        <w:lastRenderedPageBreak/>
        <w:t xml:space="preserve">Cuadro </w:t>
      </w:r>
      <w:r>
        <w:rPr>
          <w:b/>
        </w:rPr>
        <w:t>13</w:t>
      </w:r>
    </w:p>
    <w:p w:rsidR="00480617" w:rsidRDefault="00480617" w:rsidP="00480617">
      <w:pPr>
        <w:jc w:val="center"/>
        <w:rPr>
          <w:b/>
        </w:rPr>
      </w:pPr>
      <w:r>
        <w:rPr>
          <w:b/>
        </w:rPr>
        <w:t xml:space="preserve">Dosis de </w:t>
      </w:r>
      <w:r w:rsidR="001B2E57">
        <w:rPr>
          <w:b/>
        </w:rPr>
        <w:t>V</w:t>
      </w:r>
      <w:r>
        <w:rPr>
          <w:b/>
        </w:rPr>
        <w:t xml:space="preserve">acunas </w:t>
      </w:r>
      <w:r w:rsidR="001B2E57">
        <w:rPr>
          <w:b/>
        </w:rPr>
        <w:t>A</w:t>
      </w:r>
      <w:r>
        <w:rPr>
          <w:b/>
        </w:rPr>
        <w:t xml:space="preserve">plicadas en la </w:t>
      </w:r>
      <w:r w:rsidR="001B2E57">
        <w:rPr>
          <w:b/>
        </w:rPr>
        <w:t>S</w:t>
      </w:r>
      <w:r>
        <w:rPr>
          <w:b/>
        </w:rPr>
        <w:t xml:space="preserve">emana de </w:t>
      </w:r>
      <w:r w:rsidR="001B2E57">
        <w:rPr>
          <w:b/>
        </w:rPr>
        <w:t>V</w:t>
      </w:r>
      <w:r>
        <w:rPr>
          <w:b/>
        </w:rPr>
        <w:t xml:space="preserve">acunación </w:t>
      </w:r>
      <w:r w:rsidR="001B2E57">
        <w:rPr>
          <w:b/>
        </w:rPr>
        <w:t>A</w:t>
      </w:r>
      <w:r>
        <w:rPr>
          <w:b/>
        </w:rPr>
        <w:t>nual</w:t>
      </w:r>
    </w:p>
    <w:p w:rsidR="00480617" w:rsidRDefault="00480617" w:rsidP="00480617">
      <w:pPr>
        <w:jc w:val="center"/>
      </w:pPr>
      <w:r>
        <w:rPr>
          <w:b/>
        </w:rPr>
        <w:t>Ejercicio Fiscal 2019*</w:t>
      </w:r>
    </w:p>
    <w:tbl>
      <w:tblPr>
        <w:tblW w:w="8260" w:type="dxa"/>
        <w:tblInd w:w="55" w:type="dxa"/>
        <w:tblCellMar>
          <w:left w:w="70" w:type="dxa"/>
          <w:right w:w="70" w:type="dxa"/>
        </w:tblCellMar>
        <w:tblLook w:val="04A0" w:firstRow="1" w:lastRow="0" w:firstColumn="1" w:lastColumn="0" w:noHBand="0" w:noVBand="1"/>
      </w:tblPr>
      <w:tblGrid>
        <w:gridCol w:w="3740"/>
        <w:gridCol w:w="2260"/>
        <w:gridCol w:w="2260"/>
      </w:tblGrid>
      <w:tr w:rsidR="00480617" w:rsidRPr="00480617" w:rsidTr="001B2E57">
        <w:trPr>
          <w:trHeight w:val="674"/>
        </w:trPr>
        <w:tc>
          <w:tcPr>
            <w:tcW w:w="3740"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Vacuna</w:t>
            </w:r>
          </w:p>
        </w:tc>
        <w:tc>
          <w:tcPr>
            <w:tcW w:w="2260" w:type="dxa"/>
            <w:tcBorders>
              <w:top w:val="single" w:sz="8" w:space="0" w:color="auto"/>
              <w:left w:val="nil"/>
              <w:bottom w:val="single" w:sz="8" w:space="0" w:color="auto"/>
              <w:right w:val="nil"/>
            </w:tcBorders>
            <w:shd w:val="clear" w:color="000000" w:fill="8DB4E2"/>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Dosis Programadas</w:t>
            </w:r>
          </w:p>
        </w:tc>
        <w:tc>
          <w:tcPr>
            <w:tcW w:w="2260" w:type="dxa"/>
            <w:tcBorders>
              <w:top w:val="single" w:sz="8" w:space="0" w:color="auto"/>
              <w:left w:val="single" w:sz="4" w:space="0" w:color="auto"/>
              <w:bottom w:val="single" w:sz="8" w:space="0" w:color="auto"/>
              <w:right w:val="single" w:sz="8" w:space="0" w:color="auto"/>
            </w:tcBorders>
            <w:shd w:val="clear" w:color="000000" w:fill="8DB4E2"/>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Dosis Administradas</w:t>
            </w:r>
          </w:p>
        </w:tc>
      </w:tr>
      <w:tr w:rsidR="00480617" w:rsidRPr="00480617" w:rsidTr="00480617">
        <w:trPr>
          <w:trHeight w:val="525"/>
        </w:trPr>
        <w:tc>
          <w:tcPr>
            <w:tcW w:w="3740" w:type="dxa"/>
            <w:tcBorders>
              <w:top w:val="nil"/>
              <w:left w:val="single" w:sz="8" w:space="0" w:color="auto"/>
              <w:bottom w:val="nil"/>
              <w:right w:val="single" w:sz="4" w:space="0" w:color="auto"/>
            </w:tcBorders>
            <w:shd w:val="clear" w:color="auto" w:fill="auto"/>
            <w:vAlign w:val="bottom"/>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SPR</w:t>
            </w:r>
          </w:p>
        </w:tc>
        <w:tc>
          <w:tcPr>
            <w:tcW w:w="2260" w:type="dxa"/>
            <w:tcBorders>
              <w:top w:val="nil"/>
              <w:left w:val="nil"/>
              <w:bottom w:val="nil"/>
              <w:right w:val="nil"/>
            </w:tcBorders>
            <w:shd w:val="clear" w:color="auto" w:fill="auto"/>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15,000</w:t>
            </w:r>
          </w:p>
        </w:tc>
        <w:tc>
          <w:tcPr>
            <w:tcW w:w="2260" w:type="dxa"/>
            <w:tcBorders>
              <w:top w:val="nil"/>
              <w:left w:val="single" w:sz="4" w:space="0" w:color="auto"/>
              <w:bottom w:val="nil"/>
              <w:right w:val="single" w:sz="8"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20,649</w:t>
            </w:r>
          </w:p>
        </w:tc>
      </w:tr>
      <w:tr w:rsidR="00480617" w:rsidRPr="00480617" w:rsidTr="00480617">
        <w:trPr>
          <w:trHeight w:val="525"/>
        </w:trPr>
        <w:tc>
          <w:tcPr>
            <w:tcW w:w="3740" w:type="dxa"/>
            <w:tcBorders>
              <w:top w:val="nil"/>
              <w:left w:val="single" w:sz="8" w:space="0" w:color="auto"/>
              <w:bottom w:val="nil"/>
              <w:right w:val="single" w:sz="4" w:space="0" w:color="auto"/>
            </w:tcBorders>
            <w:shd w:val="clear" w:color="auto" w:fill="auto"/>
            <w:vAlign w:val="bottom"/>
            <w:hideMark/>
          </w:tcPr>
          <w:p w:rsidR="00480617" w:rsidRPr="00480617" w:rsidRDefault="00480617" w:rsidP="001B2E57">
            <w:pPr>
              <w:rPr>
                <w:color w:val="000000"/>
                <w:sz w:val="22"/>
                <w:szCs w:val="22"/>
                <w:lang w:val="es-GT" w:eastAsia="es-GT"/>
              </w:rPr>
            </w:pPr>
            <w:r w:rsidRPr="00480617">
              <w:rPr>
                <w:color w:val="000000"/>
                <w:sz w:val="22"/>
                <w:szCs w:val="22"/>
                <w:lang w:val="es-GT" w:eastAsia="es-GT"/>
              </w:rPr>
              <w:t xml:space="preserve">Contra la </w:t>
            </w:r>
            <w:r w:rsidR="001B2E57">
              <w:rPr>
                <w:color w:val="000000"/>
                <w:sz w:val="22"/>
                <w:szCs w:val="22"/>
                <w:lang w:val="es-GT" w:eastAsia="es-GT"/>
              </w:rPr>
              <w:t>P</w:t>
            </w:r>
            <w:r w:rsidRPr="00480617">
              <w:rPr>
                <w:color w:val="000000"/>
                <w:sz w:val="22"/>
                <w:szCs w:val="22"/>
                <w:lang w:val="es-GT" w:eastAsia="es-GT"/>
              </w:rPr>
              <w:t>oliomielitis (IPV más OPV)</w:t>
            </w:r>
          </w:p>
        </w:tc>
        <w:tc>
          <w:tcPr>
            <w:tcW w:w="2260" w:type="dxa"/>
            <w:tcBorders>
              <w:top w:val="nil"/>
              <w:left w:val="nil"/>
              <w:bottom w:val="nil"/>
              <w:right w:val="nil"/>
            </w:tcBorders>
            <w:shd w:val="clear" w:color="auto" w:fill="auto"/>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37,500</w:t>
            </w:r>
          </w:p>
        </w:tc>
        <w:tc>
          <w:tcPr>
            <w:tcW w:w="2260" w:type="dxa"/>
            <w:tcBorders>
              <w:top w:val="nil"/>
              <w:left w:val="single" w:sz="4" w:space="0" w:color="auto"/>
              <w:bottom w:val="nil"/>
              <w:right w:val="single" w:sz="8"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49,559</w:t>
            </w:r>
          </w:p>
        </w:tc>
      </w:tr>
      <w:tr w:rsidR="00480617" w:rsidRPr="00480617" w:rsidTr="00480617">
        <w:trPr>
          <w:trHeight w:val="525"/>
        </w:trPr>
        <w:tc>
          <w:tcPr>
            <w:tcW w:w="3740" w:type="dxa"/>
            <w:tcBorders>
              <w:top w:val="nil"/>
              <w:left w:val="single" w:sz="8" w:space="0" w:color="auto"/>
              <w:bottom w:val="nil"/>
              <w:right w:val="single" w:sz="4" w:space="0" w:color="auto"/>
            </w:tcBorders>
            <w:shd w:val="clear" w:color="auto" w:fill="auto"/>
            <w:vAlign w:val="bottom"/>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BCG</w:t>
            </w:r>
          </w:p>
        </w:tc>
        <w:tc>
          <w:tcPr>
            <w:tcW w:w="2260" w:type="dxa"/>
            <w:tcBorders>
              <w:top w:val="nil"/>
              <w:left w:val="nil"/>
              <w:bottom w:val="nil"/>
              <w:right w:val="nil"/>
            </w:tcBorders>
            <w:shd w:val="clear" w:color="auto" w:fill="auto"/>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7,500</w:t>
            </w:r>
          </w:p>
        </w:tc>
        <w:tc>
          <w:tcPr>
            <w:tcW w:w="2260" w:type="dxa"/>
            <w:tcBorders>
              <w:top w:val="nil"/>
              <w:left w:val="single" w:sz="4" w:space="0" w:color="auto"/>
              <w:bottom w:val="nil"/>
              <w:right w:val="single" w:sz="8"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8,524</w:t>
            </w:r>
          </w:p>
        </w:tc>
      </w:tr>
      <w:tr w:rsidR="00480617" w:rsidRPr="00480617" w:rsidTr="00480617">
        <w:trPr>
          <w:trHeight w:val="525"/>
        </w:trPr>
        <w:tc>
          <w:tcPr>
            <w:tcW w:w="3740" w:type="dxa"/>
            <w:tcBorders>
              <w:top w:val="nil"/>
              <w:left w:val="single" w:sz="8" w:space="0" w:color="auto"/>
              <w:bottom w:val="nil"/>
              <w:right w:val="single" w:sz="4" w:space="0" w:color="auto"/>
            </w:tcBorders>
            <w:shd w:val="clear" w:color="auto" w:fill="auto"/>
            <w:vAlign w:val="center"/>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Rotavirus</w:t>
            </w:r>
          </w:p>
        </w:tc>
        <w:tc>
          <w:tcPr>
            <w:tcW w:w="2260" w:type="dxa"/>
            <w:tcBorders>
              <w:top w:val="nil"/>
              <w:left w:val="nil"/>
              <w:bottom w:val="nil"/>
              <w:right w:val="nil"/>
            </w:tcBorders>
            <w:shd w:val="clear" w:color="auto" w:fill="auto"/>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15,000</w:t>
            </w:r>
          </w:p>
        </w:tc>
        <w:tc>
          <w:tcPr>
            <w:tcW w:w="2260" w:type="dxa"/>
            <w:tcBorders>
              <w:top w:val="nil"/>
              <w:left w:val="single" w:sz="4" w:space="0" w:color="auto"/>
              <w:bottom w:val="nil"/>
              <w:right w:val="single" w:sz="8" w:space="0" w:color="auto"/>
            </w:tcBorders>
            <w:shd w:val="clear" w:color="auto" w:fill="auto"/>
            <w:noWrap/>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19,107</w:t>
            </w:r>
          </w:p>
        </w:tc>
      </w:tr>
      <w:tr w:rsidR="00480617" w:rsidRPr="00480617" w:rsidTr="00480617">
        <w:trPr>
          <w:trHeight w:val="525"/>
        </w:trPr>
        <w:tc>
          <w:tcPr>
            <w:tcW w:w="3740" w:type="dxa"/>
            <w:tcBorders>
              <w:top w:val="nil"/>
              <w:left w:val="single" w:sz="8" w:space="0" w:color="auto"/>
              <w:bottom w:val="nil"/>
              <w:right w:val="single" w:sz="4" w:space="0" w:color="auto"/>
            </w:tcBorders>
            <w:shd w:val="clear" w:color="auto" w:fill="auto"/>
            <w:vAlign w:val="center"/>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Neumococo</w:t>
            </w:r>
          </w:p>
        </w:tc>
        <w:tc>
          <w:tcPr>
            <w:tcW w:w="2260" w:type="dxa"/>
            <w:tcBorders>
              <w:top w:val="nil"/>
              <w:left w:val="nil"/>
              <w:bottom w:val="nil"/>
              <w:right w:val="nil"/>
            </w:tcBorders>
            <w:shd w:val="clear" w:color="auto" w:fill="auto"/>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22,500</w:t>
            </w:r>
          </w:p>
        </w:tc>
        <w:tc>
          <w:tcPr>
            <w:tcW w:w="2260" w:type="dxa"/>
            <w:tcBorders>
              <w:top w:val="nil"/>
              <w:left w:val="single" w:sz="4" w:space="0" w:color="auto"/>
              <w:bottom w:val="nil"/>
              <w:right w:val="single" w:sz="8" w:space="0" w:color="auto"/>
            </w:tcBorders>
            <w:shd w:val="clear" w:color="auto" w:fill="auto"/>
            <w:noWrap/>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30,109</w:t>
            </w:r>
          </w:p>
        </w:tc>
      </w:tr>
      <w:tr w:rsidR="00480617" w:rsidRPr="00480617" w:rsidTr="00480617">
        <w:trPr>
          <w:trHeight w:val="525"/>
        </w:trPr>
        <w:tc>
          <w:tcPr>
            <w:tcW w:w="3740" w:type="dxa"/>
            <w:tcBorders>
              <w:top w:val="nil"/>
              <w:left w:val="single" w:sz="8" w:space="0" w:color="auto"/>
              <w:bottom w:val="nil"/>
              <w:right w:val="single" w:sz="4" w:space="0" w:color="auto"/>
            </w:tcBorders>
            <w:shd w:val="clear" w:color="auto" w:fill="auto"/>
            <w:vAlign w:val="center"/>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Pentavalente</w:t>
            </w:r>
          </w:p>
        </w:tc>
        <w:tc>
          <w:tcPr>
            <w:tcW w:w="2260" w:type="dxa"/>
            <w:tcBorders>
              <w:top w:val="nil"/>
              <w:left w:val="nil"/>
              <w:bottom w:val="nil"/>
              <w:right w:val="nil"/>
            </w:tcBorders>
            <w:shd w:val="clear" w:color="auto" w:fill="auto"/>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22,500</w:t>
            </w:r>
          </w:p>
        </w:tc>
        <w:tc>
          <w:tcPr>
            <w:tcW w:w="2260" w:type="dxa"/>
            <w:tcBorders>
              <w:top w:val="nil"/>
              <w:left w:val="single" w:sz="4" w:space="0" w:color="auto"/>
              <w:bottom w:val="nil"/>
              <w:right w:val="single" w:sz="8" w:space="0" w:color="auto"/>
            </w:tcBorders>
            <w:shd w:val="clear" w:color="auto" w:fill="auto"/>
            <w:noWrap/>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29,493</w:t>
            </w:r>
          </w:p>
        </w:tc>
      </w:tr>
      <w:tr w:rsidR="00480617" w:rsidRPr="00480617" w:rsidTr="00480617">
        <w:trPr>
          <w:trHeight w:val="525"/>
        </w:trPr>
        <w:tc>
          <w:tcPr>
            <w:tcW w:w="3740" w:type="dxa"/>
            <w:tcBorders>
              <w:top w:val="nil"/>
              <w:left w:val="single" w:sz="8" w:space="0" w:color="auto"/>
              <w:bottom w:val="nil"/>
              <w:right w:val="single" w:sz="4" w:space="0" w:color="auto"/>
            </w:tcBorders>
            <w:shd w:val="clear" w:color="auto" w:fill="auto"/>
            <w:vAlign w:val="center"/>
            <w:hideMark/>
          </w:tcPr>
          <w:p w:rsidR="00480617" w:rsidRPr="00480617" w:rsidRDefault="00480617" w:rsidP="001B2E57">
            <w:pPr>
              <w:rPr>
                <w:color w:val="000000"/>
                <w:sz w:val="22"/>
                <w:szCs w:val="22"/>
                <w:lang w:val="es-GT" w:eastAsia="es-GT"/>
              </w:rPr>
            </w:pPr>
            <w:r w:rsidRPr="00480617">
              <w:rPr>
                <w:color w:val="000000"/>
                <w:sz w:val="22"/>
                <w:szCs w:val="22"/>
                <w:lang w:val="es-GT" w:eastAsia="es-GT"/>
              </w:rPr>
              <w:t xml:space="preserve">Tdap </w:t>
            </w:r>
            <w:r w:rsidR="001B2E57">
              <w:rPr>
                <w:color w:val="000000"/>
                <w:sz w:val="22"/>
                <w:szCs w:val="22"/>
                <w:lang w:val="es-GT" w:eastAsia="es-GT"/>
              </w:rPr>
              <w:t>T</w:t>
            </w:r>
            <w:r w:rsidRPr="00480617">
              <w:rPr>
                <w:color w:val="000000"/>
                <w:sz w:val="22"/>
                <w:szCs w:val="22"/>
                <w:lang w:val="es-GT" w:eastAsia="es-GT"/>
              </w:rPr>
              <w:t xml:space="preserve">rabajador de </w:t>
            </w:r>
            <w:r w:rsidR="001B2E57">
              <w:rPr>
                <w:color w:val="000000"/>
                <w:sz w:val="22"/>
                <w:szCs w:val="22"/>
                <w:lang w:val="es-GT" w:eastAsia="es-GT"/>
              </w:rPr>
              <w:t>S</w:t>
            </w:r>
            <w:r w:rsidRPr="00480617">
              <w:rPr>
                <w:color w:val="000000"/>
                <w:sz w:val="22"/>
                <w:szCs w:val="22"/>
                <w:lang w:val="es-GT" w:eastAsia="es-GT"/>
              </w:rPr>
              <w:t>alud</w:t>
            </w:r>
          </w:p>
        </w:tc>
        <w:tc>
          <w:tcPr>
            <w:tcW w:w="2260" w:type="dxa"/>
            <w:tcBorders>
              <w:top w:val="nil"/>
              <w:left w:val="nil"/>
              <w:bottom w:val="nil"/>
              <w:right w:val="nil"/>
            </w:tcBorders>
            <w:shd w:val="clear" w:color="auto" w:fill="auto"/>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5,000</w:t>
            </w:r>
          </w:p>
        </w:tc>
        <w:tc>
          <w:tcPr>
            <w:tcW w:w="2260" w:type="dxa"/>
            <w:tcBorders>
              <w:top w:val="nil"/>
              <w:left w:val="single" w:sz="4" w:space="0" w:color="auto"/>
              <w:bottom w:val="nil"/>
              <w:right w:val="single" w:sz="8" w:space="0" w:color="auto"/>
            </w:tcBorders>
            <w:shd w:val="clear" w:color="auto" w:fill="auto"/>
            <w:noWrap/>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12,278</w:t>
            </w:r>
          </w:p>
        </w:tc>
      </w:tr>
      <w:tr w:rsidR="00480617" w:rsidRPr="00480617" w:rsidTr="00480617">
        <w:trPr>
          <w:trHeight w:val="525"/>
        </w:trPr>
        <w:tc>
          <w:tcPr>
            <w:tcW w:w="3740" w:type="dxa"/>
            <w:tcBorders>
              <w:top w:val="nil"/>
              <w:left w:val="single" w:sz="8" w:space="0" w:color="auto"/>
              <w:bottom w:val="nil"/>
              <w:right w:val="single" w:sz="4" w:space="0" w:color="auto"/>
            </w:tcBorders>
            <w:shd w:val="clear" w:color="auto" w:fill="auto"/>
            <w:vAlign w:val="center"/>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VPH</w:t>
            </w:r>
          </w:p>
        </w:tc>
        <w:tc>
          <w:tcPr>
            <w:tcW w:w="2260" w:type="dxa"/>
            <w:tcBorders>
              <w:top w:val="nil"/>
              <w:left w:val="nil"/>
              <w:bottom w:val="nil"/>
              <w:right w:val="nil"/>
            </w:tcBorders>
            <w:shd w:val="clear" w:color="auto" w:fill="auto"/>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7,700</w:t>
            </w:r>
          </w:p>
        </w:tc>
        <w:tc>
          <w:tcPr>
            <w:tcW w:w="2260" w:type="dxa"/>
            <w:tcBorders>
              <w:top w:val="nil"/>
              <w:left w:val="single" w:sz="4" w:space="0" w:color="auto"/>
              <w:bottom w:val="nil"/>
              <w:right w:val="single" w:sz="8" w:space="0" w:color="auto"/>
            </w:tcBorders>
            <w:shd w:val="clear" w:color="auto" w:fill="auto"/>
            <w:noWrap/>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7,482</w:t>
            </w:r>
          </w:p>
        </w:tc>
      </w:tr>
      <w:tr w:rsidR="00480617" w:rsidRPr="00480617" w:rsidTr="00480617">
        <w:trPr>
          <w:trHeight w:val="525"/>
        </w:trPr>
        <w:tc>
          <w:tcPr>
            <w:tcW w:w="3740" w:type="dxa"/>
            <w:tcBorders>
              <w:top w:val="nil"/>
              <w:left w:val="single" w:sz="8" w:space="0" w:color="auto"/>
              <w:bottom w:val="nil"/>
              <w:right w:val="single" w:sz="4" w:space="0" w:color="auto"/>
            </w:tcBorders>
            <w:shd w:val="clear" w:color="auto" w:fill="auto"/>
            <w:vAlign w:val="center"/>
            <w:hideMark/>
          </w:tcPr>
          <w:p w:rsidR="00480617" w:rsidRPr="00480617" w:rsidRDefault="001B2E57" w:rsidP="00480617">
            <w:pPr>
              <w:rPr>
                <w:color w:val="000000"/>
                <w:sz w:val="22"/>
                <w:szCs w:val="22"/>
                <w:lang w:val="es-GT" w:eastAsia="es-GT"/>
              </w:rPr>
            </w:pPr>
            <w:r>
              <w:rPr>
                <w:color w:val="000000"/>
                <w:sz w:val="22"/>
                <w:szCs w:val="22"/>
                <w:lang w:val="es-GT" w:eastAsia="es-GT"/>
              </w:rPr>
              <w:t>TD</w:t>
            </w:r>
          </w:p>
        </w:tc>
        <w:tc>
          <w:tcPr>
            <w:tcW w:w="2260" w:type="dxa"/>
            <w:tcBorders>
              <w:top w:val="nil"/>
              <w:left w:val="nil"/>
              <w:bottom w:val="nil"/>
              <w:right w:val="nil"/>
            </w:tcBorders>
            <w:shd w:val="clear" w:color="auto" w:fill="auto"/>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7,500</w:t>
            </w:r>
          </w:p>
        </w:tc>
        <w:tc>
          <w:tcPr>
            <w:tcW w:w="2260" w:type="dxa"/>
            <w:tcBorders>
              <w:top w:val="nil"/>
              <w:left w:val="single" w:sz="4" w:space="0" w:color="auto"/>
              <w:bottom w:val="nil"/>
              <w:right w:val="single" w:sz="8" w:space="0" w:color="auto"/>
            </w:tcBorders>
            <w:shd w:val="clear" w:color="auto" w:fill="auto"/>
            <w:noWrap/>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14,249</w:t>
            </w:r>
          </w:p>
        </w:tc>
      </w:tr>
      <w:tr w:rsidR="00480617" w:rsidRPr="00480617" w:rsidTr="00480617">
        <w:trPr>
          <w:trHeight w:val="525"/>
        </w:trPr>
        <w:tc>
          <w:tcPr>
            <w:tcW w:w="3740" w:type="dxa"/>
            <w:tcBorders>
              <w:top w:val="nil"/>
              <w:left w:val="single" w:sz="8" w:space="0" w:color="auto"/>
              <w:bottom w:val="single" w:sz="8" w:space="0" w:color="auto"/>
              <w:right w:val="single" w:sz="4" w:space="0" w:color="auto"/>
            </w:tcBorders>
            <w:shd w:val="clear" w:color="auto" w:fill="auto"/>
            <w:vAlign w:val="center"/>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DPT</w:t>
            </w:r>
          </w:p>
        </w:tc>
        <w:tc>
          <w:tcPr>
            <w:tcW w:w="2260" w:type="dxa"/>
            <w:tcBorders>
              <w:top w:val="nil"/>
              <w:left w:val="nil"/>
              <w:bottom w:val="single" w:sz="8" w:space="0" w:color="auto"/>
              <w:right w:val="nil"/>
            </w:tcBorders>
            <w:shd w:val="clear" w:color="auto" w:fill="auto"/>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15,000</w:t>
            </w:r>
          </w:p>
        </w:tc>
        <w:tc>
          <w:tcPr>
            <w:tcW w:w="2260" w:type="dxa"/>
            <w:tcBorders>
              <w:top w:val="nil"/>
              <w:left w:val="single" w:sz="4" w:space="0" w:color="auto"/>
              <w:bottom w:val="single" w:sz="8" w:space="0" w:color="auto"/>
              <w:right w:val="single" w:sz="8" w:space="0" w:color="auto"/>
            </w:tcBorders>
            <w:shd w:val="clear" w:color="auto" w:fill="auto"/>
            <w:noWrap/>
            <w:vAlign w:val="center"/>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20,172</w:t>
            </w:r>
          </w:p>
        </w:tc>
      </w:tr>
    </w:tbl>
    <w:p w:rsidR="00480617" w:rsidRPr="004E678D" w:rsidRDefault="00480617" w:rsidP="00480617">
      <w:pPr>
        <w:jc w:val="both"/>
        <w:rPr>
          <w:sz w:val="18"/>
        </w:rPr>
      </w:pPr>
      <w:r w:rsidRPr="004E678D">
        <w:rPr>
          <w:sz w:val="18"/>
          <w:lang w:val="es-GT"/>
        </w:rPr>
        <w:t>* Cifras preliminares</w:t>
      </w:r>
    </w:p>
    <w:p w:rsidR="00480617" w:rsidRDefault="00480617" w:rsidP="00480617">
      <w:r>
        <w:rPr>
          <w:sz w:val="18"/>
        </w:rPr>
        <w:t xml:space="preserve">   </w:t>
      </w:r>
      <w:r w:rsidRPr="004E678D">
        <w:rPr>
          <w:sz w:val="18"/>
        </w:rPr>
        <w:t xml:space="preserve">Fuente: </w:t>
      </w:r>
      <w:r>
        <w:rPr>
          <w:sz w:val="18"/>
        </w:rPr>
        <w:t>Cuarto Informe de Gobierno 2019-2020.</w:t>
      </w:r>
    </w:p>
    <w:p w:rsidR="00480617" w:rsidRDefault="00480617" w:rsidP="00E24F7B"/>
    <w:p w:rsidR="00480617" w:rsidRPr="001B2E57" w:rsidRDefault="00480617" w:rsidP="00E24F7B">
      <w:pPr>
        <w:rPr>
          <w:sz w:val="22"/>
        </w:rPr>
      </w:pPr>
    </w:p>
    <w:p w:rsidR="00480617" w:rsidRDefault="00480617" w:rsidP="00E24F7B"/>
    <w:p w:rsidR="00480617" w:rsidRPr="00124AD6" w:rsidRDefault="00480617" w:rsidP="00480617">
      <w:pPr>
        <w:jc w:val="center"/>
        <w:rPr>
          <w:b/>
        </w:rPr>
      </w:pPr>
      <w:r w:rsidRPr="00124AD6">
        <w:rPr>
          <w:b/>
        </w:rPr>
        <w:t xml:space="preserve">Cuadro </w:t>
      </w:r>
      <w:r>
        <w:rPr>
          <w:b/>
        </w:rPr>
        <w:t>14</w:t>
      </w:r>
    </w:p>
    <w:p w:rsidR="00480617" w:rsidRDefault="00480617" w:rsidP="00480617">
      <w:pPr>
        <w:jc w:val="center"/>
        <w:rPr>
          <w:b/>
        </w:rPr>
      </w:pPr>
      <w:r>
        <w:rPr>
          <w:b/>
        </w:rPr>
        <w:t>Cobertura de Educación Bilingüe Intercultural por Ciclo Educativo</w:t>
      </w:r>
    </w:p>
    <w:p w:rsidR="00480617" w:rsidRDefault="00480617" w:rsidP="00480617">
      <w:pPr>
        <w:jc w:val="center"/>
      </w:pPr>
      <w:r>
        <w:rPr>
          <w:b/>
        </w:rPr>
        <w:t>Ejercicios Fiscales 2016</w:t>
      </w:r>
      <w:r w:rsidR="001B2E57">
        <w:rPr>
          <w:b/>
        </w:rPr>
        <w:t xml:space="preserve"> </w:t>
      </w:r>
      <w:r>
        <w:rPr>
          <w:b/>
        </w:rPr>
        <w:t>-</w:t>
      </w:r>
      <w:r w:rsidR="001B2E57">
        <w:rPr>
          <w:b/>
        </w:rPr>
        <w:t xml:space="preserve"> </w:t>
      </w:r>
      <w:r>
        <w:rPr>
          <w:b/>
        </w:rPr>
        <w:t>2019*</w:t>
      </w:r>
    </w:p>
    <w:tbl>
      <w:tblPr>
        <w:tblW w:w="8520" w:type="dxa"/>
        <w:tblInd w:w="55" w:type="dxa"/>
        <w:tblCellMar>
          <w:left w:w="70" w:type="dxa"/>
          <w:right w:w="70" w:type="dxa"/>
        </w:tblCellMar>
        <w:tblLook w:val="04A0" w:firstRow="1" w:lastRow="0" w:firstColumn="1" w:lastColumn="0" w:noHBand="0" w:noVBand="1"/>
      </w:tblPr>
      <w:tblGrid>
        <w:gridCol w:w="2283"/>
        <w:gridCol w:w="1418"/>
        <w:gridCol w:w="1701"/>
        <w:gridCol w:w="1701"/>
        <w:gridCol w:w="1417"/>
      </w:tblGrid>
      <w:tr w:rsidR="00480617" w:rsidRPr="00480617" w:rsidTr="00480617">
        <w:trPr>
          <w:trHeight w:val="735"/>
        </w:trPr>
        <w:tc>
          <w:tcPr>
            <w:tcW w:w="2283"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Nivel Educativo</w:t>
            </w:r>
          </w:p>
        </w:tc>
        <w:tc>
          <w:tcPr>
            <w:tcW w:w="1418" w:type="dxa"/>
            <w:tcBorders>
              <w:top w:val="single" w:sz="8" w:space="0" w:color="auto"/>
              <w:left w:val="nil"/>
              <w:bottom w:val="single" w:sz="8" w:space="0" w:color="auto"/>
              <w:right w:val="single" w:sz="4" w:space="0" w:color="auto"/>
            </w:tcBorders>
            <w:shd w:val="clear" w:color="000000" w:fill="8DB4E2"/>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2016</w:t>
            </w:r>
          </w:p>
        </w:tc>
        <w:tc>
          <w:tcPr>
            <w:tcW w:w="1701" w:type="dxa"/>
            <w:tcBorders>
              <w:top w:val="single" w:sz="8" w:space="0" w:color="auto"/>
              <w:left w:val="nil"/>
              <w:bottom w:val="single" w:sz="8" w:space="0" w:color="auto"/>
              <w:right w:val="nil"/>
            </w:tcBorders>
            <w:shd w:val="clear" w:color="000000" w:fill="8DB4E2"/>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2017</w:t>
            </w:r>
          </w:p>
        </w:tc>
        <w:tc>
          <w:tcPr>
            <w:tcW w:w="1701" w:type="dxa"/>
            <w:tcBorders>
              <w:top w:val="single" w:sz="8" w:space="0" w:color="auto"/>
              <w:left w:val="single" w:sz="4" w:space="0" w:color="auto"/>
              <w:bottom w:val="single" w:sz="8" w:space="0" w:color="auto"/>
              <w:right w:val="nil"/>
            </w:tcBorders>
            <w:shd w:val="clear" w:color="000000" w:fill="8DB4E2"/>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2018</w:t>
            </w:r>
          </w:p>
        </w:tc>
        <w:tc>
          <w:tcPr>
            <w:tcW w:w="1417" w:type="dxa"/>
            <w:tcBorders>
              <w:top w:val="single" w:sz="8" w:space="0" w:color="auto"/>
              <w:left w:val="single" w:sz="4" w:space="0" w:color="auto"/>
              <w:bottom w:val="single" w:sz="8" w:space="0" w:color="auto"/>
              <w:right w:val="single" w:sz="8" w:space="0" w:color="auto"/>
            </w:tcBorders>
            <w:shd w:val="clear" w:color="000000" w:fill="8DB4E2"/>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2019</w:t>
            </w:r>
          </w:p>
        </w:tc>
      </w:tr>
      <w:tr w:rsidR="00480617" w:rsidRPr="00480617" w:rsidTr="00480617">
        <w:trPr>
          <w:trHeight w:val="495"/>
        </w:trPr>
        <w:tc>
          <w:tcPr>
            <w:tcW w:w="2283" w:type="dxa"/>
            <w:tcBorders>
              <w:top w:val="nil"/>
              <w:left w:val="single" w:sz="8" w:space="0" w:color="auto"/>
              <w:bottom w:val="nil"/>
              <w:right w:val="single" w:sz="4" w:space="0" w:color="auto"/>
            </w:tcBorders>
            <w:shd w:val="clear" w:color="000000" w:fill="FFFFFF"/>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Total</w:t>
            </w:r>
          </w:p>
        </w:tc>
        <w:tc>
          <w:tcPr>
            <w:tcW w:w="1418" w:type="dxa"/>
            <w:tcBorders>
              <w:top w:val="nil"/>
              <w:left w:val="nil"/>
              <w:bottom w:val="nil"/>
              <w:right w:val="single" w:sz="4" w:space="0" w:color="auto"/>
            </w:tcBorders>
            <w:shd w:val="clear" w:color="000000" w:fill="FFFFFF"/>
            <w:noWrap/>
            <w:vAlign w:val="center"/>
            <w:hideMark/>
          </w:tcPr>
          <w:p w:rsidR="00480617" w:rsidRPr="00480617" w:rsidRDefault="00480617" w:rsidP="00480617">
            <w:pPr>
              <w:jc w:val="right"/>
              <w:rPr>
                <w:b/>
                <w:bCs/>
                <w:color w:val="000000"/>
                <w:sz w:val="22"/>
                <w:szCs w:val="22"/>
                <w:lang w:val="es-GT" w:eastAsia="es-GT"/>
              </w:rPr>
            </w:pPr>
            <w:r w:rsidRPr="00480617">
              <w:rPr>
                <w:b/>
                <w:bCs/>
                <w:color w:val="000000"/>
                <w:sz w:val="22"/>
                <w:szCs w:val="22"/>
                <w:lang w:val="es-GT" w:eastAsia="es-GT"/>
              </w:rPr>
              <w:t>947,510</w:t>
            </w:r>
          </w:p>
        </w:tc>
        <w:tc>
          <w:tcPr>
            <w:tcW w:w="1701" w:type="dxa"/>
            <w:tcBorders>
              <w:top w:val="nil"/>
              <w:left w:val="nil"/>
              <w:bottom w:val="nil"/>
              <w:right w:val="single" w:sz="4" w:space="0" w:color="auto"/>
            </w:tcBorders>
            <w:shd w:val="clear" w:color="000000" w:fill="FFFFFF"/>
            <w:noWrap/>
            <w:vAlign w:val="center"/>
            <w:hideMark/>
          </w:tcPr>
          <w:p w:rsidR="00480617" w:rsidRPr="00480617" w:rsidRDefault="00480617" w:rsidP="00480617">
            <w:pPr>
              <w:jc w:val="right"/>
              <w:rPr>
                <w:b/>
                <w:bCs/>
                <w:color w:val="000000"/>
                <w:sz w:val="22"/>
                <w:szCs w:val="22"/>
                <w:lang w:val="es-GT" w:eastAsia="es-GT"/>
              </w:rPr>
            </w:pPr>
            <w:r w:rsidRPr="00480617">
              <w:rPr>
                <w:b/>
                <w:bCs/>
                <w:color w:val="000000"/>
                <w:sz w:val="22"/>
                <w:szCs w:val="22"/>
                <w:lang w:val="es-GT" w:eastAsia="es-GT"/>
              </w:rPr>
              <w:t>965,844</w:t>
            </w:r>
          </w:p>
        </w:tc>
        <w:tc>
          <w:tcPr>
            <w:tcW w:w="1701" w:type="dxa"/>
            <w:tcBorders>
              <w:top w:val="nil"/>
              <w:left w:val="nil"/>
              <w:bottom w:val="nil"/>
              <w:right w:val="single" w:sz="4" w:space="0" w:color="auto"/>
            </w:tcBorders>
            <w:shd w:val="clear" w:color="000000" w:fill="FFFFFF"/>
            <w:noWrap/>
            <w:vAlign w:val="center"/>
            <w:hideMark/>
          </w:tcPr>
          <w:p w:rsidR="00480617" w:rsidRPr="00480617" w:rsidRDefault="00480617" w:rsidP="00480617">
            <w:pPr>
              <w:jc w:val="right"/>
              <w:rPr>
                <w:b/>
                <w:bCs/>
                <w:color w:val="000000"/>
                <w:sz w:val="22"/>
                <w:szCs w:val="22"/>
                <w:lang w:val="es-GT" w:eastAsia="es-GT"/>
              </w:rPr>
            </w:pPr>
            <w:r w:rsidRPr="00480617">
              <w:rPr>
                <w:b/>
                <w:bCs/>
                <w:color w:val="000000"/>
                <w:sz w:val="22"/>
                <w:szCs w:val="22"/>
                <w:lang w:val="es-GT" w:eastAsia="es-GT"/>
              </w:rPr>
              <w:t>996,747</w:t>
            </w:r>
          </w:p>
        </w:tc>
        <w:tc>
          <w:tcPr>
            <w:tcW w:w="1417" w:type="dxa"/>
            <w:tcBorders>
              <w:top w:val="nil"/>
              <w:left w:val="nil"/>
              <w:bottom w:val="nil"/>
              <w:right w:val="single" w:sz="8" w:space="0" w:color="auto"/>
            </w:tcBorders>
            <w:shd w:val="clear" w:color="000000" w:fill="FFFFFF"/>
            <w:vAlign w:val="center"/>
            <w:hideMark/>
          </w:tcPr>
          <w:p w:rsidR="00480617" w:rsidRPr="00480617" w:rsidRDefault="00480617" w:rsidP="00480617">
            <w:pPr>
              <w:jc w:val="right"/>
              <w:rPr>
                <w:b/>
                <w:bCs/>
                <w:color w:val="000000"/>
                <w:sz w:val="22"/>
                <w:szCs w:val="22"/>
                <w:lang w:val="es-GT" w:eastAsia="es-GT"/>
              </w:rPr>
            </w:pPr>
            <w:r w:rsidRPr="00480617">
              <w:rPr>
                <w:b/>
                <w:bCs/>
                <w:color w:val="000000"/>
                <w:sz w:val="22"/>
                <w:szCs w:val="22"/>
                <w:lang w:val="es-GT" w:eastAsia="es-GT"/>
              </w:rPr>
              <w:t>983,851</w:t>
            </w:r>
          </w:p>
        </w:tc>
      </w:tr>
      <w:tr w:rsidR="00480617" w:rsidRPr="00480617" w:rsidTr="00480617">
        <w:trPr>
          <w:trHeight w:val="495"/>
        </w:trPr>
        <w:tc>
          <w:tcPr>
            <w:tcW w:w="2283" w:type="dxa"/>
            <w:tcBorders>
              <w:top w:val="nil"/>
              <w:left w:val="single" w:sz="8" w:space="0" w:color="auto"/>
              <w:bottom w:val="nil"/>
              <w:right w:val="single" w:sz="4" w:space="0" w:color="auto"/>
            </w:tcBorders>
            <w:shd w:val="clear" w:color="auto" w:fill="auto"/>
            <w:vAlign w:val="bottom"/>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Preprimaria</w:t>
            </w:r>
          </w:p>
        </w:tc>
        <w:tc>
          <w:tcPr>
            <w:tcW w:w="1418" w:type="dxa"/>
            <w:tcBorders>
              <w:top w:val="nil"/>
              <w:left w:val="nil"/>
              <w:bottom w:val="nil"/>
              <w:right w:val="single" w:sz="4"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87,284</w:t>
            </w:r>
          </w:p>
        </w:tc>
        <w:tc>
          <w:tcPr>
            <w:tcW w:w="1701" w:type="dxa"/>
            <w:tcBorders>
              <w:top w:val="nil"/>
              <w:left w:val="single" w:sz="4" w:space="0" w:color="auto"/>
              <w:bottom w:val="nil"/>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103,709</w:t>
            </w:r>
          </w:p>
        </w:tc>
        <w:tc>
          <w:tcPr>
            <w:tcW w:w="1701" w:type="dxa"/>
            <w:tcBorders>
              <w:top w:val="nil"/>
              <w:left w:val="single" w:sz="4" w:space="0" w:color="auto"/>
              <w:bottom w:val="nil"/>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109,469</w:t>
            </w:r>
          </w:p>
        </w:tc>
        <w:tc>
          <w:tcPr>
            <w:tcW w:w="1417" w:type="dxa"/>
            <w:tcBorders>
              <w:top w:val="nil"/>
              <w:left w:val="single" w:sz="4" w:space="0" w:color="auto"/>
              <w:bottom w:val="nil"/>
              <w:right w:val="single" w:sz="8"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107,638</w:t>
            </w:r>
          </w:p>
        </w:tc>
      </w:tr>
      <w:tr w:rsidR="00480617" w:rsidRPr="00480617" w:rsidTr="00480617">
        <w:trPr>
          <w:trHeight w:val="495"/>
        </w:trPr>
        <w:tc>
          <w:tcPr>
            <w:tcW w:w="2283" w:type="dxa"/>
            <w:tcBorders>
              <w:top w:val="nil"/>
              <w:left w:val="single" w:sz="8" w:space="0" w:color="auto"/>
              <w:bottom w:val="nil"/>
              <w:right w:val="single" w:sz="4" w:space="0" w:color="auto"/>
            </w:tcBorders>
            <w:shd w:val="clear" w:color="auto" w:fill="auto"/>
            <w:vAlign w:val="bottom"/>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Primaria</w:t>
            </w:r>
          </w:p>
        </w:tc>
        <w:tc>
          <w:tcPr>
            <w:tcW w:w="1418" w:type="dxa"/>
            <w:tcBorders>
              <w:top w:val="nil"/>
              <w:left w:val="nil"/>
              <w:bottom w:val="nil"/>
              <w:right w:val="single" w:sz="4"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847,075</w:t>
            </w:r>
          </w:p>
        </w:tc>
        <w:tc>
          <w:tcPr>
            <w:tcW w:w="1701" w:type="dxa"/>
            <w:tcBorders>
              <w:top w:val="nil"/>
              <w:left w:val="single" w:sz="4" w:space="0" w:color="auto"/>
              <w:bottom w:val="nil"/>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848,637</w:t>
            </w:r>
          </w:p>
        </w:tc>
        <w:tc>
          <w:tcPr>
            <w:tcW w:w="1701" w:type="dxa"/>
            <w:tcBorders>
              <w:top w:val="nil"/>
              <w:left w:val="single" w:sz="4" w:space="0" w:color="auto"/>
              <w:bottom w:val="nil"/>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873,414</w:t>
            </w:r>
          </w:p>
        </w:tc>
        <w:tc>
          <w:tcPr>
            <w:tcW w:w="1417" w:type="dxa"/>
            <w:tcBorders>
              <w:top w:val="nil"/>
              <w:left w:val="single" w:sz="4" w:space="0" w:color="auto"/>
              <w:bottom w:val="nil"/>
              <w:right w:val="single" w:sz="8"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862,596</w:t>
            </w:r>
          </w:p>
        </w:tc>
      </w:tr>
      <w:tr w:rsidR="00480617" w:rsidRPr="00480617" w:rsidTr="00480617">
        <w:trPr>
          <w:trHeight w:val="495"/>
        </w:trPr>
        <w:tc>
          <w:tcPr>
            <w:tcW w:w="2283" w:type="dxa"/>
            <w:tcBorders>
              <w:top w:val="nil"/>
              <w:left w:val="single" w:sz="8" w:space="0" w:color="auto"/>
              <w:bottom w:val="nil"/>
              <w:right w:val="single" w:sz="4" w:space="0" w:color="auto"/>
            </w:tcBorders>
            <w:shd w:val="clear" w:color="auto" w:fill="auto"/>
            <w:vAlign w:val="bottom"/>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Básicos</w:t>
            </w:r>
          </w:p>
        </w:tc>
        <w:tc>
          <w:tcPr>
            <w:tcW w:w="1418" w:type="dxa"/>
            <w:tcBorders>
              <w:top w:val="nil"/>
              <w:left w:val="nil"/>
              <w:bottom w:val="nil"/>
              <w:right w:val="single" w:sz="4"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5,428</w:t>
            </w:r>
          </w:p>
        </w:tc>
        <w:tc>
          <w:tcPr>
            <w:tcW w:w="1701" w:type="dxa"/>
            <w:tcBorders>
              <w:top w:val="nil"/>
              <w:left w:val="single" w:sz="4" w:space="0" w:color="auto"/>
              <w:bottom w:val="nil"/>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5,791</w:t>
            </w:r>
          </w:p>
        </w:tc>
        <w:tc>
          <w:tcPr>
            <w:tcW w:w="1701" w:type="dxa"/>
            <w:tcBorders>
              <w:top w:val="nil"/>
              <w:left w:val="single" w:sz="4" w:space="0" w:color="auto"/>
              <w:bottom w:val="nil"/>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6,069</w:t>
            </w:r>
          </w:p>
        </w:tc>
        <w:tc>
          <w:tcPr>
            <w:tcW w:w="1417" w:type="dxa"/>
            <w:tcBorders>
              <w:top w:val="nil"/>
              <w:left w:val="single" w:sz="4" w:space="0" w:color="auto"/>
              <w:bottom w:val="nil"/>
              <w:right w:val="single" w:sz="8"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5,982</w:t>
            </w:r>
          </w:p>
        </w:tc>
      </w:tr>
      <w:tr w:rsidR="00480617" w:rsidRPr="00480617" w:rsidTr="00480617">
        <w:trPr>
          <w:trHeight w:val="495"/>
        </w:trPr>
        <w:tc>
          <w:tcPr>
            <w:tcW w:w="2283" w:type="dxa"/>
            <w:tcBorders>
              <w:top w:val="nil"/>
              <w:left w:val="single" w:sz="8" w:space="0" w:color="auto"/>
              <w:bottom w:val="single" w:sz="8" w:space="0" w:color="auto"/>
              <w:right w:val="single" w:sz="4" w:space="0" w:color="auto"/>
            </w:tcBorders>
            <w:shd w:val="clear" w:color="auto" w:fill="auto"/>
            <w:vAlign w:val="bottom"/>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Diversificado</w:t>
            </w:r>
          </w:p>
        </w:tc>
        <w:tc>
          <w:tcPr>
            <w:tcW w:w="1418" w:type="dxa"/>
            <w:tcBorders>
              <w:top w:val="nil"/>
              <w:left w:val="nil"/>
              <w:bottom w:val="single" w:sz="8" w:space="0" w:color="auto"/>
              <w:right w:val="single" w:sz="4"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7,723</w:t>
            </w:r>
          </w:p>
        </w:tc>
        <w:tc>
          <w:tcPr>
            <w:tcW w:w="1701" w:type="dxa"/>
            <w:tcBorders>
              <w:top w:val="nil"/>
              <w:left w:val="single" w:sz="4" w:space="0" w:color="auto"/>
              <w:bottom w:val="single" w:sz="8" w:space="0" w:color="auto"/>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7,707</w:t>
            </w:r>
          </w:p>
        </w:tc>
        <w:tc>
          <w:tcPr>
            <w:tcW w:w="1701" w:type="dxa"/>
            <w:tcBorders>
              <w:top w:val="nil"/>
              <w:left w:val="single" w:sz="4" w:space="0" w:color="auto"/>
              <w:bottom w:val="single" w:sz="8" w:space="0" w:color="auto"/>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7,795</w:t>
            </w:r>
          </w:p>
        </w:tc>
        <w:tc>
          <w:tcPr>
            <w:tcW w:w="1417" w:type="dxa"/>
            <w:tcBorders>
              <w:top w:val="nil"/>
              <w:left w:val="single" w:sz="4" w:space="0" w:color="auto"/>
              <w:bottom w:val="single" w:sz="8" w:space="0" w:color="auto"/>
              <w:right w:val="single" w:sz="8"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7,635</w:t>
            </w:r>
          </w:p>
        </w:tc>
      </w:tr>
    </w:tbl>
    <w:p w:rsidR="00480617" w:rsidRPr="004E678D" w:rsidRDefault="00480617" w:rsidP="00480617">
      <w:pPr>
        <w:jc w:val="both"/>
        <w:rPr>
          <w:sz w:val="18"/>
        </w:rPr>
      </w:pPr>
      <w:r w:rsidRPr="004E678D">
        <w:rPr>
          <w:sz w:val="18"/>
          <w:lang w:val="es-GT"/>
        </w:rPr>
        <w:t>* Cifras preliminares</w:t>
      </w:r>
    </w:p>
    <w:p w:rsidR="00480617" w:rsidRDefault="00480617" w:rsidP="00480617">
      <w:r>
        <w:rPr>
          <w:sz w:val="18"/>
        </w:rPr>
        <w:t xml:space="preserve">   </w:t>
      </w:r>
      <w:r w:rsidRPr="004E678D">
        <w:rPr>
          <w:sz w:val="18"/>
        </w:rPr>
        <w:t xml:space="preserve">Fuente: </w:t>
      </w:r>
      <w:r>
        <w:rPr>
          <w:sz w:val="18"/>
        </w:rPr>
        <w:t>Cuarto Informe de Gobierno 2019-2020.</w:t>
      </w:r>
    </w:p>
    <w:p w:rsidR="00480617" w:rsidRDefault="00480617" w:rsidP="00E24F7B"/>
    <w:p w:rsidR="00480617" w:rsidRDefault="00480617" w:rsidP="00E24F7B"/>
    <w:p w:rsidR="00480617" w:rsidRPr="00124AD6" w:rsidRDefault="00480617" w:rsidP="00480617">
      <w:pPr>
        <w:jc w:val="center"/>
        <w:rPr>
          <w:b/>
        </w:rPr>
      </w:pPr>
      <w:r w:rsidRPr="00124AD6">
        <w:rPr>
          <w:b/>
        </w:rPr>
        <w:t xml:space="preserve">Cuadro </w:t>
      </w:r>
      <w:r>
        <w:rPr>
          <w:b/>
        </w:rPr>
        <w:t>15</w:t>
      </w:r>
    </w:p>
    <w:p w:rsidR="00480617" w:rsidRDefault="00480617" w:rsidP="00480617">
      <w:pPr>
        <w:jc w:val="center"/>
        <w:rPr>
          <w:b/>
        </w:rPr>
      </w:pPr>
      <w:r>
        <w:rPr>
          <w:b/>
        </w:rPr>
        <w:t>Docentes Beneficiados con Valija Didáctica por Ciclo Educativo</w:t>
      </w:r>
    </w:p>
    <w:p w:rsidR="00480617" w:rsidRDefault="00480617" w:rsidP="00480617">
      <w:pPr>
        <w:jc w:val="center"/>
      </w:pPr>
      <w:r>
        <w:rPr>
          <w:b/>
        </w:rPr>
        <w:t>Ejercicios Fiscales 2016</w:t>
      </w:r>
      <w:r w:rsidR="002956B8">
        <w:rPr>
          <w:b/>
        </w:rPr>
        <w:t xml:space="preserve"> </w:t>
      </w:r>
      <w:r>
        <w:rPr>
          <w:b/>
        </w:rPr>
        <w:t>-</w:t>
      </w:r>
      <w:r w:rsidR="002956B8">
        <w:rPr>
          <w:b/>
        </w:rPr>
        <w:t xml:space="preserve"> </w:t>
      </w:r>
      <w:r>
        <w:rPr>
          <w:b/>
        </w:rPr>
        <w:t>2019*</w:t>
      </w:r>
    </w:p>
    <w:tbl>
      <w:tblPr>
        <w:tblW w:w="8520" w:type="dxa"/>
        <w:tblInd w:w="55" w:type="dxa"/>
        <w:tblCellMar>
          <w:left w:w="70" w:type="dxa"/>
          <w:right w:w="70" w:type="dxa"/>
        </w:tblCellMar>
        <w:tblLook w:val="04A0" w:firstRow="1" w:lastRow="0" w:firstColumn="1" w:lastColumn="0" w:noHBand="0" w:noVBand="1"/>
      </w:tblPr>
      <w:tblGrid>
        <w:gridCol w:w="2283"/>
        <w:gridCol w:w="1418"/>
        <w:gridCol w:w="1701"/>
        <w:gridCol w:w="1701"/>
        <w:gridCol w:w="1417"/>
      </w:tblGrid>
      <w:tr w:rsidR="00480617" w:rsidRPr="00480617" w:rsidTr="00480617">
        <w:trPr>
          <w:trHeight w:val="735"/>
        </w:trPr>
        <w:tc>
          <w:tcPr>
            <w:tcW w:w="2283"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Nivel Educativo</w:t>
            </w:r>
          </w:p>
        </w:tc>
        <w:tc>
          <w:tcPr>
            <w:tcW w:w="1418" w:type="dxa"/>
            <w:tcBorders>
              <w:top w:val="single" w:sz="8" w:space="0" w:color="auto"/>
              <w:left w:val="nil"/>
              <w:bottom w:val="single" w:sz="8" w:space="0" w:color="auto"/>
              <w:right w:val="single" w:sz="4" w:space="0" w:color="auto"/>
            </w:tcBorders>
            <w:shd w:val="clear" w:color="000000" w:fill="8DB4E2"/>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2016</w:t>
            </w:r>
          </w:p>
        </w:tc>
        <w:tc>
          <w:tcPr>
            <w:tcW w:w="1701" w:type="dxa"/>
            <w:tcBorders>
              <w:top w:val="single" w:sz="8" w:space="0" w:color="auto"/>
              <w:left w:val="nil"/>
              <w:bottom w:val="single" w:sz="8" w:space="0" w:color="auto"/>
              <w:right w:val="nil"/>
            </w:tcBorders>
            <w:shd w:val="clear" w:color="000000" w:fill="8DB4E2"/>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2017</w:t>
            </w:r>
          </w:p>
        </w:tc>
        <w:tc>
          <w:tcPr>
            <w:tcW w:w="1701" w:type="dxa"/>
            <w:tcBorders>
              <w:top w:val="single" w:sz="8" w:space="0" w:color="auto"/>
              <w:left w:val="single" w:sz="4" w:space="0" w:color="auto"/>
              <w:bottom w:val="single" w:sz="8" w:space="0" w:color="auto"/>
              <w:right w:val="nil"/>
            </w:tcBorders>
            <w:shd w:val="clear" w:color="000000" w:fill="8DB4E2"/>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2018</w:t>
            </w:r>
          </w:p>
        </w:tc>
        <w:tc>
          <w:tcPr>
            <w:tcW w:w="1417" w:type="dxa"/>
            <w:tcBorders>
              <w:top w:val="single" w:sz="8" w:space="0" w:color="auto"/>
              <w:left w:val="single" w:sz="4" w:space="0" w:color="auto"/>
              <w:bottom w:val="single" w:sz="8" w:space="0" w:color="auto"/>
              <w:right w:val="single" w:sz="8" w:space="0" w:color="auto"/>
            </w:tcBorders>
            <w:shd w:val="clear" w:color="000000" w:fill="8DB4E2"/>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2019</w:t>
            </w:r>
          </w:p>
        </w:tc>
      </w:tr>
      <w:tr w:rsidR="00480617" w:rsidRPr="00480617" w:rsidTr="00480617">
        <w:trPr>
          <w:trHeight w:val="495"/>
        </w:trPr>
        <w:tc>
          <w:tcPr>
            <w:tcW w:w="2283" w:type="dxa"/>
            <w:tcBorders>
              <w:top w:val="nil"/>
              <w:left w:val="single" w:sz="8" w:space="0" w:color="auto"/>
              <w:bottom w:val="nil"/>
              <w:right w:val="single" w:sz="4" w:space="0" w:color="auto"/>
            </w:tcBorders>
            <w:shd w:val="clear" w:color="000000" w:fill="FFFFFF"/>
            <w:noWrap/>
            <w:vAlign w:val="center"/>
            <w:hideMark/>
          </w:tcPr>
          <w:p w:rsidR="00480617" w:rsidRPr="00480617" w:rsidRDefault="00480617" w:rsidP="00480617">
            <w:pPr>
              <w:jc w:val="center"/>
              <w:rPr>
                <w:b/>
                <w:bCs/>
                <w:color w:val="000000"/>
                <w:sz w:val="22"/>
                <w:szCs w:val="22"/>
                <w:lang w:val="es-GT" w:eastAsia="es-GT"/>
              </w:rPr>
            </w:pPr>
            <w:r w:rsidRPr="00480617">
              <w:rPr>
                <w:b/>
                <w:bCs/>
                <w:color w:val="000000"/>
                <w:sz w:val="22"/>
                <w:szCs w:val="22"/>
                <w:lang w:val="es-GT" w:eastAsia="es-GT"/>
              </w:rPr>
              <w:t>Total</w:t>
            </w:r>
          </w:p>
        </w:tc>
        <w:tc>
          <w:tcPr>
            <w:tcW w:w="1418" w:type="dxa"/>
            <w:tcBorders>
              <w:top w:val="nil"/>
              <w:left w:val="nil"/>
              <w:bottom w:val="nil"/>
              <w:right w:val="single" w:sz="4" w:space="0" w:color="auto"/>
            </w:tcBorders>
            <w:shd w:val="clear" w:color="000000" w:fill="FFFFFF"/>
            <w:noWrap/>
            <w:vAlign w:val="center"/>
            <w:hideMark/>
          </w:tcPr>
          <w:p w:rsidR="00480617" w:rsidRPr="00480617" w:rsidRDefault="00480617" w:rsidP="00480617">
            <w:pPr>
              <w:jc w:val="right"/>
              <w:rPr>
                <w:b/>
                <w:bCs/>
                <w:color w:val="000000"/>
                <w:sz w:val="22"/>
                <w:szCs w:val="22"/>
                <w:lang w:val="es-GT" w:eastAsia="es-GT"/>
              </w:rPr>
            </w:pPr>
            <w:r w:rsidRPr="00480617">
              <w:rPr>
                <w:b/>
                <w:bCs/>
                <w:color w:val="000000"/>
                <w:sz w:val="22"/>
                <w:szCs w:val="22"/>
                <w:lang w:val="es-GT" w:eastAsia="es-GT"/>
              </w:rPr>
              <w:t>92,232</w:t>
            </w:r>
          </w:p>
        </w:tc>
        <w:tc>
          <w:tcPr>
            <w:tcW w:w="1701" w:type="dxa"/>
            <w:tcBorders>
              <w:top w:val="nil"/>
              <w:left w:val="nil"/>
              <w:bottom w:val="nil"/>
              <w:right w:val="single" w:sz="4" w:space="0" w:color="auto"/>
            </w:tcBorders>
            <w:shd w:val="clear" w:color="000000" w:fill="FFFFFF"/>
            <w:noWrap/>
            <w:vAlign w:val="center"/>
            <w:hideMark/>
          </w:tcPr>
          <w:p w:rsidR="00480617" w:rsidRPr="00480617" w:rsidRDefault="00480617" w:rsidP="00480617">
            <w:pPr>
              <w:jc w:val="right"/>
              <w:rPr>
                <w:b/>
                <w:bCs/>
                <w:color w:val="000000"/>
                <w:sz w:val="22"/>
                <w:szCs w:val="22"/>
                <w:lang w:val="es-GT" w:eastAsia="es-GT"/>
              </w:rPr>
            </w:pPr>
            <w:r w:rsidRPr="00480617">
              <w:rPr>
                <w:b/>
                <w:bCs/>
                <w:color w:val="000000"/>
                <w:sz w:val="22"/>
                <w:szCs w:val="22"/>
                <w:lang w:val="es-GT" w:eastAsia="es-GT"/>
              </w:rPr>
              <w:t>91,348</w:t>
            </w:r>
          </w:p>
        </w:tc>
        <w:tc>
          <w:tcPr>
            <w:tcW w:w="1701" w:type="dxa"/>
            <w:tcBorders>
              <w:top w:val="nil"/>
              <w:left w:val="nil"/>
              <w:bottom w:val="nil"/>
              <w:right w:val="single" w:sz="4" w:space="0" w:color="auto"/>
            </w:tcBorders>
            <w:shd w:val="clear" w:color="000000" w:fill="FFFFFF"/>
            <w:noWrap/>
            <w:vAlign w:val="center"/>
            <w:hideMark/>
          </w:tcPr>
          <w:p w:rsidR="00480617" w:rsidRPr="00480617" w:rsidRDefault="00480617" w:rsidP="00480617">
            <w:pPr>
              <w:jc w:val="right"/>
              <w:rPr>
                <w:b/>
                <w:bCs/>
                <w:color w:val="000000"/>
                <w:sz w:val="22"/>
                <w:szCs w:val="22"/>
                <w:lang w:val="es-GT" w:eastAsia="es-GT"/>
              </w:rPr>
            </w:pPr>
            <w:r w:rsidRPr="00480617">
              <w:rPr>
                <w:b/>
                <w:bCs/>
                <w:color w:val="000000"/>
                <w:sz w:val="22"/>
                <w:szCs w:val="22"/>
                <w:lang w:val="es-GT" w:eastAsia="es-GT"/>
              </w:rPr>
              <w:t>99,122</w:t>
            </w:r>
          </w:p>
        </w:tc>
        <w:tc>
          <w:tcPr>
            <w:tcW w:w="1417" w:type="dxa"/>
            <w:tcBorders>
              <w:top w:val="nil"/>
              <w:left w:val="nil"/>
              <w:bottom w:val="nil"/>
              <w:right w:val="single" w:sz="8" w:space="0" w:color="auto"/>
            </w:tcBorders>
            <w:shd w:val="clear" w:color="000000" w:fill="FFFFFF"/>
            <w:vAlign w:val="center"/>
            <w:hideMark/>
          </w:tcPr>
          <w:p w:rsidR="00480617" w:rsidRPr="00480617" w:rsidRDefault="00480617" w:rsidP="00480617">
            <w:pPr>
              <w:jc w:val="right"/>
              <w:rPr>
                <w:b/>
                <w:bCs/>
                <w:color w:val="000000"/>
                <w:sz w:val="22"/>
                <w:szCs w:val="22"/>
                <w:lang w:val="es-GT" w:eastAsia="es-GT"/>
              </w:rPr>
            </w:pPr>
            <w:r w:rsidRPr="00480617">
              <w:rPr>
                <w:b/>
                <w:bCs/>
                <w:color w:val="000000"/>
                <w:sz w:val="22"/>
                <w:szCs w:val="22"/>
                <w:lang w:val="es-GT" w:eastAsia="es-GT"/>
              </w:rPr>
              <w:t>105,475</w:t>
            </w:r>
          </w:p>
        </w:tc>
      </w:tr>
      <w:tr w:rsidR="00480617" w:rsidRPr="00480617" w:rsidTr="00480617">
        <w:trPr>
          <w:trHeight w:val="495"/>
        </w:trPr>
        <w:tc>
          <w:tcPr>
            <w:tcW w:w="2283" w:type="dxa"/>
            <w:tcBorders>
              <w:top w:val="nil"/>
              <w:left w:val="single" w:sz="8" w:space="0" w:color="auto"/>
              <w:bottom w:val="nil"/>
              <w:right w:val="single" w:sz="4" w:space="0" w:color="auto"/>
            </w:tcBorders>
            <w:shd w:val="clear" w:color="auto" w:fill="auto"/>
            <w:vAlign w:val="bottom"/>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Preprimaria</w:t>
            </w:r>
          </w:p>
        </w:tc>
        <w:tc>
          <w:tcPr>
            <w:tcW w:w="1418" w:type="dxa"/>
            <w:tcBorders>
              <w:top w:val="nil"/>
              <w:left w:val="nil"/>
              <w:bottom w:val="nil"/>
              <w:right w:val="single" w:sz="4"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15,995</w:t>
            </w:r>
          </w:p>
        </w:tc>
        <w:tc>
          <w:tcPr>
            <w:tcW w:w="1701" w:type="dxa"/>
            <w:tcBorders>
              <w:top w:val="nil"/>
              <w:left w:val="single" w:sz="4" w:space="0" w:color="auto"/>
              <w:bottom w:val="nil"/>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15,746</w:t>
            </w:r>
          </w:p>
        </w:tc>
        <w:tc>
          <w:tcPr>
            <w:tcW w:w="1701" w:type="dxa"/>
            <w:tcBorders>
              <w:top w:val="nil"/>
              <w:left w:val="single" w:sz="4" w:space="0" w:color="auto"/>
              <w:bottom w:val="nil"/>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18,855</w:t>
            </w:r>
          </w:p>
        </w:tc>
        <w:tc>
          <w:tcPr>
            <w:tcW w:w="1417" w:type="dxa"/>
            <w:tcBorders>
              <w:top w:val="nil"/>
              <w:left w:val="single" w:sz="4" w:space="0" w:color="auto"/>
              <w:bottom w:val="nil"/>
              <w:right w:val="single" w:sz="8"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20,074</w:t>
            </w:r>
          </w:p>
        </w:tc>
      </w:tr>
      <w:tr w:rsidR="00480617" w:rsidRPr="00480617" w:rsidTr="00480617">
        <w:trPr>
          <w:trHeight w:val="495"/>
        </w:trPr>
        <w:tc>
          <w:tcPr>
            <w:tcW w:w="2283" w:type="dxa"/>
            <w:tcBorders>
              <w:top w:val="nil"/>
              <w:left w:val="single" w:sz="8" w:space="0" w:color="auto"/>
              <w:bottom w:val="single" w:sz="8" w:space="0" w:color="auto"/>
              <w:right w:val="single" w:sz="4" w:space="0" w:color="auto"/>
            </w:tcBorders>
            <w:shd w:val="clear" w:color="auto" w:fill="auto"/>
            <w:vAlign w:val="bottom"/>
            <w:hideMark/>
          </w:tcPr>
          <w:p w:rsidR="00480617" w:rsidRPr="00480617" w:rsidRDefault="00480617" w:rsidP="00480617">
            <w:pPr>
              <w:rPr>
                <w:color w:val="000000"/>
                <w:sz w:val="22"/>
                <w:szCs w:val="22"/>
                <w:lang w:val="es-GT" w:eastAsia="es-GT"/>
              </w:rPr>
            </w:pPr>
            <w:r w:rsidRPr="00480617">
              <w:rPr>
                <w:color w:val="000000"/>
                <w:sz w:val="22"/>
                <w:szCs w:val="22"/>
                <w:lang w:val="es-GT" w:eastAsia="es-GT"/>
              </w:rPr>
              <w:t>Primaria</w:t>
            </w:r>
          </w:p>
        </w:tc>
        <w:tc>
          <w:tcPr>
            <w:tcW w:w="1418" w:type="dxa"/>
            <w:tcBorders>
              <w:top w:val="nil"/>
              <w:left w:val="nil"/>
              <w:bottom w:val="single" w:sz="8" w:space="0" w:color="auto"/>
              <w:right w:val="single" w:sz="4"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76,237</w:t>
            </w:r>
          </w:p>
        </w:tc>
        <w:tc>
          <w:tcPr>
            <w:tcW w:w="1701" w:type="dxa"/>
            <w:tcBorders>
              <w:top w:val="nil"/>
              <w:left w:val="single" w:sz="4" w:space="0" w:color="auto"/>
              <w:bottom w:val="single" w:sz="8" w:space="0" w:color="auto"/>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75,602</w:t>
            </w:r>
          </w:p>
        </w:tc>
        <w:tc>
          <w:tcPr>
            <w:tcW w:w="1701" w:type="dxa"/>
            <w:tcBorders>
              <w:top w:val="nil"/>
              <w:left w:val="single" w:sz="4" w:space="0" w:color="auto"/>
              <w:bottom w:val="single" w:sz="8" w:space="0" w:color="auto"/>
              <w:right w:val="nil"/>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80,267</w:t>
            </w:r>
          </w:p>
        </w:tc>
        <w:tc>
          <w:tcPr>
            <w:tcW w:w="1417" w:type="dxa"/>
            <w:tcBorders>
              <w:top w:val="nil"/>
              <w:left w:val="single" w:sz="4" w:space="0" w:color="auto"/>
              <w:bottom w:val="single" w:sz="8" w:space="0" w:color="auto"/>
              <w:right w:val="single" w:sz="8" w:space="0" w:color="auto"/>
            </w:tcBorders>
            <w:shd w:val="clear" w:color="auto" w:fill="auto"/>
            <w:noWrap/>
            <w:vAlign w:val="bottom"/>
            <w:hideMark/>
          </w:tcPr>
          <w:p w:rsidR="00480617" w:rsidRPr="00480617" w:rsidRDefault="00480617" w:rsidP="00480617">
            <w:pPr>
              <w:jc w:val="right"/>
              <w:rPr>
                <w:color w:val="000000"/>
                <w:sz w:val="22"/>
                <w:szCs w:val="22"/>
                <w:lang w:val="es-GT" w:eastAsia="es-GT"/>
              </w:rPr>
            </w:pPr>
            <w:r w:rsidRPr="00480617">
              <w:rPr>
                <w:color w:val="000000"/>
                <w:sz w:val="22"/>
                <w:szCs w:val="22"/>
                <w:lang w:val="es-GT" w:eastAsia="es-GT"/>
              </w:rPr>
              <w:t>85,401</w:t>
            </w:r>
          </w:p>
        </w:tc>
      </w:tr>
    </w:tbl>
    <w:p w:rsidR="00480617" w:rsidRPr="004E678D" w:rsidRDefault="00480617" w:rsidP="00480617">
      <w:pPr>
        <w:jc w:val="both"/>
        <w:rPr>
          <w:sz w:val="18"/>
        </w:rPr>
      </w:pPr>
      <w:r w:rsidRPr="004E678D">
        <w:rPr>
          <w:sz w:val="18"/>
          <w:lang w:val="es-GT"/>
        </w:rPr>
        <w:t>* Cifras preliminares</w:t>
      </w:r>
    </w:p>
    <w:p w:rsidR="00480617" w:rsidRDefault="00480617" w:rsidP="00480617">
      <w:r>
        <w:rPr>
          <w:sz w:val="18"/>
        </w:rPr>
        <w:t xml:space="preserve">   </w:t>
      </w:r>
      <w:r w:rsidRPr="004E678D">
        <w:rPr>
          <w:sz w:val="18"/>
        </w:rPr>
        <w:t xml:space="preserve">Fuente: </w:t>
      </w:r>
      <w:r>
        <w:rPr>
          <w:sz w:val="18"/>
        </w:rPr>
        <w:t>Cuarto Informe de Gobierno 2019-2020.</w:t>
      </w:r>
    </w:p>
    <w:p w:rsidR="00480617" w:rsidRDefault="00480617" w:rsidP="00E24F7B"/>
    <w:p w:rsidR="00480617" w:rsidRDefault="00480617" w:rsidP="00E24F7B"/>
    <w:p w:rsidR="00480617" w:rsidRDefault="00480617" w:rsidP="00E24F7B"/>
    <w:p w:rsidR="00480617" w:rsidRDefault="00480617" w:rsidP="00E24F7B"/>
    <w:p w:rsidR="00480617" w:rsidRDefault="00480617" w:rsidP="00E24F7B"/>
    <w:p w:rsidR="00480617" w:rsidRDefault="00480617" w:rsidP="00E24F7B"/>
    <w:p w:rsidR="00480617" w:rsidRDefault="00480617" w:rsidP="00E24F7B"/>
    <w:p w:rsidR="00116540" w:rsidRDefault="00116540">
      <w:r>
        <w:br w:type="page"/>
      </w:r>
    </w:p>
    <w:p w:rsidR="008B418F" w:rsidRPr="00124AD6" w:rsidRDefault="008B418F" w:rsidP="008B418F">
      <w:pPr>
        <w:jc w:val="center"/>
        <w:rPr>
          <w:b/>
        </w:rPr>
      </w:pPr>
      <w:r w:rsidRPr="00124AD6">
        <w:rPr>
          <w:b/>
        </w:rPr>
        <w:lastRenderedPageBreak/>
        <w:t xml:space="preserve">Cuadro </w:t>
      </w:r>
      <w:r w:rsidR="00FE730A">
        <w:rPr>
          <w:b/>
        </w:rPr>
        <w:t>1</w:t>
      </w:r>
      <w:r w:rsidR="00AC6A88">
        <w:rPr>
          <w:b/>
        </w:rPr>
        <w:t>6</w:t>
      </w:r>
    </w:p>
    <w:p w:rsidR="003E5087" w:rsidRDefault="003E5087" w:rsidP="008B418F">
      <w:pPr>
        <w:jc w:val="center"/>
        <w:rPr>
          <w:b/>
        </w:rPr>
      </w:pPr>
      <w:r>
        <w:rPr>
          <w:b/>
        </w:rPr>
        <w:t>Tasa de Homicidios y Hechos Delictivos contra el Patrimonio</w:t>
      </w:r>
    </w:p>
    <w:p w:rsidR="008B418F" w:rsidRPr="00124AD6" w:rsidRDefault="003E5087" w:rsidP="008B418F">
      <w:pPr>
        <w:jc w:val="center"/>
        <w:rPr>
          <w:b/>
        </w:rPr>
      </w:pPr>
      <w:r>
        <w:rPr>
          <w:b/>
        </w:rPr>
        <w:t>A Nivel Departamental</w:t>
      </w:r>
    </w:p>
    <w:p w:rsidR="00A7285A" w:rsidRDefault="008B418F" w:rsidP="003E5087">
      <w:pPr>
        <w:jc w:val="center"/>
        <w:rPr>
          <w:b/>
        </w:rPr>
      </w:pPr>
      <w:r>
        <w:rPr>
          <w:b/>
        </w:rPr>
        <w:t>Ejercicio Fiscal 201</w:t>
      </w:r>
      <w:r w:rsidR="00A7285A">
        <w:rPr>
          <w:b/>
        </w:rPr>
        <w:t>9</w:t>
      </w:r>
      <w:r w:rsidR="003E5087">
        <w:rPr>
          <w:b/>
        </w:rPr>
        <w:t>*</w:t>
      </w:r>
    </w:p>
    <w:tbl>
      <w:tblPr>
        <w:tblW w:w="7371" w:type="dxa"/>
        <w:tblInd w:w="779" w:type="dxa"/>
        <w:tblCellMar>
          <w:left w:w="70" w:type="dxa"/>
          <w:right w:w="70" w:type="dxa"/>
        </w:tblCellMar>
        <w:tblLook w:val="04A0" w:firstRow="1" w:lastRow="0" w:firstColumn="1" w:lastColumn="0" w:noHBand="0" w:noVBand="1"/>
      </w:tblPr>
      <w:tblGrid>
        <w:gridCol w:w="3119"/>
        <w:gridCol w:w="2126"/>
        <w:gridCol w:w="2126"/>
      </w:tblGrid>
      <w:tr w:rsidR="00A7285A" w:rsidRPr="00A7285A" w:rsidTr="00A7285A">
        <w:trPr>
          <w:trHeight w:val="750"/>
        </w:trPr>
        <w:tc>
          <w:tcPr>
            <w:tcW w:w="3119" w:type="dxa"/>
            <w:tcBorders>
              <w:top w:val="single" w:sz="8" w:space="0" w:color="auto"/>
              <w:left w:val="single" w:sz="8" w:space="0" w:color="auto"/>
              <w:bottom w:val="single" w:sz="8" w:space="0" w:color="auto"/>
              <w:right w:val="single" w:sz="4" w:space="0" w:color="auto"/>
            </w:tcBorders>
            <w:shd w:val="clear" w:color="000000" w:fill="8DB4E2"/>
            <w:noWrap/>
            <w:vAlign w:val="center"/>
            <w:hideMark/>
          </w:tcPr>
          <w:p w:rsidR="00A7285A" w:rsidRPr="00A7285A" w:rsidRDefault="00A7285A" w:rsidP="00A7285A">
            <w:pPr>
              <w:jc w:val="center"/>
              <w:rPr>
                <w:b/>
                <w:bCs/>
                <w:color w:val="000000"/>
                <w:lang w:val="es-GT" w:eastAsia="es-GT"/>
              </w:rPr>
            </w:pPr>
            <w:r w:rsidRPr="00A7285A">
              <w:rPr>
                <w:b/>
                <w:bCs/>
                <w:color w:val="000000"/>
                <w:lang w:val="es-GT" w:eastAsia="es-GT"/>
              </w:rPr>
              <w:t>Departamento</w:t>
            </w:r>
          </w:p>
        </w:tc>
        <w:tc>
          <w:tcPr>
            <w:tcW w:w="2126" w:type="dxa"/>
            <w:tcBorders>
              <w:top w:val="single" w:sz="8" w:space="0" w:color="auto"/>
              <w:left w:val="nil"/>
              <w:bottom w:val="single" w:sz="8" w:space="0" w:color="auto"/>
              <w:right w:val="single" w:sz="4" w:space="0" w:color="auto"/>
            </w:tcBorders>
            <w:shd w:val="clear" w:color="000000" w:fill="8DB4E2"/>
            <w:vAlign w:val="center"/>
            <w:hideMark/>
          </w:tcPr>
          <w:p w:rsidR="00A7285A" w:rsidRPr="00A7285A" w:rsidRDefault="00A7285A" w:rsidP="00A7285A">
            <w:pPr>
              <w:jc w:val="center"/>
              <w:rPr>
                <w:b/>
                <w:bCs/>
                <w:color w:val="000000"/>
                <w:lang w:val="es-GT" w:eastAsia="es-GT"/>
              </w:rPr>
            </w:pPr>
            <w:r w:rsidRPr="00A7285A">
              <w:rPr>
                <w:b/>
                <w:bCs/>
                <w:color w:val="000000"/>
                <w:lang w:val="es-GT" w:eastAsia="es-GT"/>
              </w:rPr>
              <w:t>Tasa de Homicidios*</w:t>
            </w:r>
            <w:r>
              <w:rPr>
                <w:b/>
                <w:bCs/>
                <w:color w:val="000000"/>
                <w:lang w:val="es-GT" w:eastAsia="es-GT"/>
              </w:rPr>
              <w:t>*</w:t>
            </w:r>
          </w:p>
        </w:tc>
        <w:tc>
          <w:tcPr>
            <w:tcW w:w="2126" w:type="dxa"/>
            <w:tcBorders>
              <w:top w:val="single" w:sz="8" w:space="0" w:color="auto"/>
              <w:left w:val="nil"/>
              <w:bottom w:val="single" w:sz="8" w:space="0" w:color="auto"/>
              <w:right w:val="single" w:sz="8" w:space="0" w:color="auto"/>
            </w:tcBorders>
            <w:shd w:val="clear" w:color="000000" w:fill="8DB4E2"/>
            <w:vAlign w:val="center"/>
            <w:hideMark/>
          </w:tcPr>
          <w:p w:rsidR="00A7285A" w:rsidRPr="00A7285A" w:rsidRDefault="00A7285A" w:rsidP="00A7285A">
            <w:pPr>
              <w:jc w:val="center"/>
              <w:rPr>
                <w:b/>
                <w:bCs/>
                <w:color w:val="000000"/>
                <w:lang w:val="es-GT" w:eastAsia="es-GT"/>
              </w:rPr>
            </w:pPr>
            <w:r w:rsidRPr="00A7285A">
              <w:rPr>
                <w:b/>
                <w:bCs/>
                <w:color w:val="000000"/>
                <w:lang w:val="es-GT" w:eastAsia="es-GT"/>
              </w:rPr>
              <w:t>Tasa de Hechos Delictivos*</w:t>
            </w:r>
            <w:r>
              <w:rPr>
                <w:b/>
                <w:bCs/>
                <w:color w:val="000000"/>
                <w:lang w:val="es-GT" w:eastAsia="es-GT"/>
              </w:rPr>
              <w:t>*</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Alta Verapaz</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4.96</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10</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Baja Verapaz</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6.45</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13</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Chimaltenango</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11.21</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40</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Chiquimula</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38.86</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33</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El Progreso</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21.46</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61</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Escuintla</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51.13</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147</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Guatemala</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42.43</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124</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Huehuetenango</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2.74</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7</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Izabal</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36.63</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72</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Jalapa</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31.52</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15</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Jutiapa</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24.43</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23</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Petén</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19.76</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15</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Quetzaltenango</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12.65</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30</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Quiché</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1.19</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Retalhuleu</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13.83</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30</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Sacatepéquez</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14.05</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55</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San Marcos</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7.76</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6</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Santa Rosa</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23.71</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29</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Sololá</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2.63</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7</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Suchitepéquez</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8.98</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19</w:t>
            </w:r>
          </w:p>
        </w:tc>
      </w:tr>
      <w:tr w:rsidR="00A7285A" w:rsidRPr="00A7285A" w:rsidTr="00A7285A">
        <w:trPr>
          <w:trHeight w:val="390"/>
        </w:trPr>
        <w:tc>
          <w:tcPr>
            <w:tcW w:w="3119" w:type="dxa"/>
            <w:tcBorders>
              <w:top w:val="nil"/>
              <w:left w:val="single" w:sz="8" w:space="0" w:color="auto"/>
              <w:bottom w:val="nil"/>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Totonicapán</w:t>
            </w:r>
          </w:p>
        </w:tc>
        <w:tc>
          <w:tcPr>
            <w:tcW w:w="2126" w:type="dxa"/>
            <w:tcBorders>
              <w:top w:val="nil"/>
              <w:left w:val="nil"/>
              <w:bottom w:val="nil"/>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1.80</w:t>
            </w:r>
          </w:p>
        </w:tc>
        <w:tc>
          <w:tcPr>
            <w:tcW w:w="2126" w:type="dxa"/>
            <w:tcBorders>
              <w:top w:val="nil"/>
              <w:left w:val="nil"/>
              <w:bottom w:val="nil"/>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5</w:t>
            </w:r>
          </w:p>
        </w:tc>
      </w:tr>
      <w:tr w:rsidR="00A7285A" w:rsidRPr="00A7285A" w:rsidTr="00A7285A">
        <w:trPr>
          <w:trHeight w:val="390"/>
        </w:trPr>
        <w:tc>
          <w:tcPr>
            <w:tcW w:w="3119" w:type="dxa"/>
            <w:tcBorders>
              <w:top w:val="nil"/>
              <w:left w:val="single" w:sz="8" w:space="0" w:color="auto"/>
              <w:bottom w:val="single" w:sz="8" w:space="0" w:color="auto"/>
              <w:right w:val="single" w:sz="4" w:space="0" w:color="auto"/>
            </w:tcBorders>
            <w:shd w:val="clear" w:color="auto" w:fill="auto"/>
            <w:noWrap/>
            <w:vAlign w:val="bottom"/>
            <w:hideMark/>
          </w:tcPr>
          <w:p w:rsidR="00A7285A" w:rsidRPr="00A7285A" w:rsidRDefault="00A7285A" w:rsidP="00A7285A">
            <w:pPr>
              <w:rPr>
                <w:color w:val="000000"/>
                <w:lang w:val="es-GT" w:eastAsia="es-GT"/>
              </w:rPr>
            </w:pPr>
            <w:r w:rsidRPr="00A7285A">
              <w:rPr>
                <w:color w:val="000000"/>
                <w:lang w:val="es-GT" w:eastAsia="es-GT"/>
              </w:rPr>
              <w:t>Zacapa</w:t>
            </w:r>
          </w:p>
        </w:tc>
        <w:tc>
          <w:tcPr>
            <w:tcW w:w="2126" w:type="dxa"/>
            <w:tcBorders>
              <w:top w:val="nil"/>
              <w:left w:val="nil"/>
              <w:bottom w:val="single" w:sz="8" w:space="0" w:color="auto"/>
              <w:right w:val="single" w:sz="4"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59.87</w:t>
            </w:r>
          </w:p>
        </w:tc>
        <w:tc>
          <w:tcPr>
            <w:tcW w:w="2126" w:type="dxa"/>
            <w:tcBorders>
              <w:top w:val="nil"/>
              <w:left w:val="nil"/>
              <w:bottom w:val="single" w:sz="8" w:space="0" w:color="auto"/>
              <w:right w:val="single" w:sz="8" w:space="0" w:color="auto"/>
            </w:tcBorders>
            <w:shd w:val="clear" w:color="auto" w:fill="auto"/>
            <w:noWrap/>
            <w:vAlign w:val="bottom"/>
            <w:hideMark/>
          </w:tcPr>
          <w:p w:rsidR="00A7285A" w:rsidRPr="00A7285A" w:rsidRDefault="00A7285A" w:rsidP="00A7285A">
            <w:pPr>
              <w:jc w:val="center"/>
              <w:rPr>
                <w:color w:val="000000"/>
                <w:lang w:val="es-GT" w:eastAsia="es-GT"/>
              </w:rPr>
            </w:pPr>
            <w:r w:rsidRPr="00A7285A">
              <w:rPr>
                <w:color w:val="000000"/>
                <w:lang w:val="es-GT" w:eastAsia="es-GT"/>
              </w:rPr>
              <w:t>78</w:t>
            </w:r>
          </w:p>
        </w:tc>
      </w:tr>
    </w:tbl>
    <w:p w:rsidR="003E5087" w:rsidRDefault="003E5087" w:rsidP="003E5087">
      <w:pPr>
        <w:jc w:val="both"/>
        <w:rPr>
          <w:sz w:val="18"/>
          <w:lang w:val="es-GT"/>
        </w:rPr>
      </w:pPr>
      <w:r>
        <w:t xml:space="preserve">             </w:t>
      </w:r>
      <w:r w:rsidRPr="004E678D">
        <w:rPr>
          <w:sz w:val="18"/>
          <w:lang w:val="es-GT"/>
        </w:rPr>
        <w:t xml:space="preserve">* </w:t>
      </w:r>
      <w:r w:rsidR="00AC6A88">
        <w:rPr>
          <w:sz w:val="18"/>
          <w:lang w:val="es-GT"/>
        </w:rPr>
        <w:t xml:space="preserve"> </w:t>
      </w:r>
      <w:r w:rsidRPr="004E678D">
        <w:rPr>
          <w:sz w:val="18"/>
          <w:lang w:val="es-GT"/>
        </w:rPr>
        <w:t>Cifras preliminares</w:t>
      </w:r>
    </w:p>
    <w:p w:rsidR="003E5087" w:rsidRPr="004E678D" w:rsidRDefault="00457178" w:rsidP="003E5087">
      <w:pPr>
        <w:jc w:val="both"/>
        <w:rPr>
          <w:sz w:val="18"/>
        </w:rPr>
      </w:pPr>
      <w:r>
        <w:rPr>
          <w:sz w:val="18"/>
          <w:lang w:val="es-GT"/>
        </w:rPr>
        <w:t xml:space="preserve">            </w:t>
      </w:r>
      <w:r w:rsidR="003E5087">
        <w:rPr>
          <w:sz w:val="18"/>
          <w:lang w:val="es-GT"/>
        </w:rPr>
        <w:t xml:space="preserve">   ** Por cada 100,000 habitantes</w:t>
      </w:r>
    </w:p>
    <w:p w:rsidR="00CC3CAE" w:rsidRDefault="003E5087" w:rsidP="003E5087">
      <w:r>
        <w:rPr>
          <w:sz w:val="18"/>
        </w:rPr>
        <w:t xml:space="preserve">           </w:t>
      </w:r>
      <w:r w:rsidR="00AC6A88">
        <w:rPr>
          <w:sz w:val="18"/>
        </w:rPr>
        <w:t xml:space="preserve">   </w:t>
      </w:r>
      <w:r>
        <w:rPr>
          <w:sz w:val="18"/>
        </w:rPr>
        <w:t xml:space="preserve">       </w:t>
      </w:r>
      <w:r w:rsidRPr="004E678D">
        <w:rPr>
          <w:sz w:val="18"/>
        </w:rPr>
        <w:t xml:space="preserve">Fuente: </w:t>
      </w:r>
      <w:r w:rsidR="00A7285A">
        <w:rPr>
          <w:sz w:val="18"/>
        </w:rPr>
        <w:t>Cuarto</w:t>
      </w:r>
      <w:r>
        <w:rPr>
          <w:sz w:val="18"/>
        </w:rPr>
        <w:t xml:space="preserve"> Informe de Gobierno 201</w:t>
      </w:r>
      <w:r w:rsidR="00A7285A">
        <w:rPr>
          <w:sz w:val="18"/>
        </w:rPr>
        <w:t>9-2020</w:t>
      </w:r>
      <w:r>
        <w:rPr>
          <w:sz w:val="18"/>
        </w:rPr>
        <w:t>.</w:t>
      </w:r>
    </w:p>
    <w:p w:rsidR="00CC3CAE" w:rsidRDefault="00CC3CAE" w:rsidP="00E24F7B"/>
    <w:p w:rsidR="002956B8" w:rsidRDefault="002956B8" w:rsidP="00E24F7B"/>
    <w:p w:rsidR="00723EE3" w:rsidRDefault="00723EE3" w:rsidP="00723EE3">
      <w:pPr>
        <w:jc w:val="both"/>
      </w:pPr>
      <w:r>
        <w:t>Además, de conformidad al Plan Nacional de Desarrollo K’atun, Nuestra Guatemala 2032 se desarrolla</w:t>
      </w:r>
      <w:r w:rsidR="005E3681">
        <w:t>ron</w:t>
      </w:r>
      <w:r>
        <w:t xml:space="preserve"> acciones encaminadas al logro de los cinco ejes de la Política General de Gobierno 2016-2020, que contribuyan a los Objetivos de Desarrollo Sostenible (ODS).</w:t>
      </w:r>
    </w:p>
    <w:p w:rsidR="005F75BB" w:rsidRDefault="005F75BB" w:rsidP="00723EE3">
      <w:pPr>
        <w:jc w:val="both"/>
      </w:pPr>
    </w:p>
    <w:p w:rsidR="00723EE3" w:rsidRDefault="00723EE3" w:rsidP="00C774F3">
      <w:pPr>
        <w:pStyle w:val="Prrafodelista"/>
        <w:numPr>
          <w:ilvl w:val="0"/>
          <w:numId w:val="5"/>
        </w:numPr>
        <w:jc w:val="both"/>
      </w:pPr>
      <w:r>
        <w:t>Tolerancia cero a la corrupción y modernización del Estado.</w:t>
      </w:r>
    </w:p>
    <w:p w:rsidR="00723EE3" w:rsidRDefault="00723EE3" w:rsidP="00C774F3">
      <w:pPr>
        <w:pStyle w:val="Prrafodelista"/>
        <w:numPr>
          <w:ilvl w:val="0"/>
          <w:numId w:val="5"/>
        </w:numPr>
        <w:jc w:val="both"/>
      </w:pPr>
      <w:r>
        <w:t>Seguridad alimentaria y nutricional, salud integral y educación de calidad.</w:t>
      </w:r>
    </w:p>
    <w:p w:rsidR="00723EE3" w:rsidRDefault="00723EE3" w:rsidP="00C774F3">
      <w:pPr>
        <w:pStyle w:val="Prrafodelista"/>
        <w:numPr>
          <w:ilvl w:val="0"/>
          <w:numId w:val="5"/>
        </w:numPr>
        <w:jc w:val="both"/>
      </w:pPr>
      <w:r>
        <w:t>Fomento de las Mypimes, turismo, vivienda y trabajo digno y decente.</w:t>
      </w:r>
    </w:p>
    <w:p w:rsidR="00723EE3" w:rsidRDefault="00723EE3" w:rsidP="00C774F3">
      <w:pPr>
        <w:pStyle w:val="Prrafodelista"/>
        <w:numPr>
          <w:ilvl w:val="0"/>
          <w:numId w:val="5"/>
        </w:numPr>
        <w:jc w:val="both"/>
      </w:pPr>
      <w:r>
        <w:t>Seguridad ciudadana.</w:t>
      </w:r>
    </w:p>
    <w:p w:rsidR="00723EE3" w:rsidRDefault="00723EE3" w:rsidP="00C774F3">
      <w:pPr>
        <w:pStyle w:val="Prrafodelista"/>
        <w:numPr>
          <w:ilvl w:val="0"/>
          <w:numId w:val="5"/>
        </w:numPr>
        <w:jc w:val="both"/>
      </w:pPr>
      <w:r>
        <w:t>Ambiente y recursos naturales.</w:t>
      </w:r>
    </w:p>
    <w:p w:rsidR="00723EE3" w:rsidRDefault="00723EE3" w:rsidP="00723EE3">
      <w:pPr>
        <w:jc w:val="both"/>
      </w:pPr>
    </w:p>
    <w:p w:rsidR="00CC3CAE" w:rsidRDefault="00723EE3" w:rsidP="00723EE3">
      <w:pPr>
        <w:jc w:val="both"/>
      </w:pPr>
      <w:r>
        <w:t>De esa cuenta, existe una serie de indicadores</w:t>
      </w:r>
      <w:r w:rsidR="006C4B3A">
        <w:t>, metas</w:t>
      </w:r>
      <w:r>
        <w:t xml:space="preserve"> y resultados alcanzados</w:t>
      </w:r>
      <w:r w:rsidR="006C4B3A">
        <w:t xml:space="preserve"> en 201</w:t>
      </w:r>
      <w:r w:rsidR="00E80AE0">
        <w:t>9</w:t>
      </w:r>
      <w:r w:rsidR="006C4B3A">
        <w:t xml:space="preserve"> cuyo detalle sería demasiado extenso (consultar </w:t>
      </w:r>
      <w:r w:rsidR="00E80AE0">
        <w:t>Cuarto</w:t>
      </w:r>
      <w:r w:rsidR="006C4B3A">
        <w:t xml:space="preserve"> Informe de Gobierno 201</w:t>
      </w:r>
      <w:r w:rsidR="00E80AE0">
        <w:t>9-2020</w:t>
      </w:r>
      <w:r w:rsidR="006C4B3A">
        <w:t>)</w:t>
      </w:r>
      <w:r>
        <w:t xml:space="preserve"> que se enmarcan en temas</w:t>
      </w:r>
      <w:r w:rsidR="007146F3">
        <w:t>,</w:t>
      </w:r>
      <w:r>
        <w:t xml:space="preserve"> tales como: </w:t>
      </w:r>
      <w:r w:rsidR="00807118">
        <w:t xml:space="preserve">promoción de la </w:t>
      </w:r>
      <w:r>
        <w:t xml:space="preserve">transparencia y </w:t>
      </w:r>
      <w:r w:rsidR="00807118">
        <w:t>lucha contra</w:t>
      </w:r>
      <w:r>
        <w:t xml:space="preserve"> la corrupción; </w:t>
      </w:r>
      <w:r w:rsidR="008C1784">
        <w:t>modernización del Estado; seguridad alimentaria</w:t>
      </w:r>
      <w:r w:rsidR="00C63149">
        <w:t xml:space="preserve"> y nutricional</w:t>
      </w:r>
      <w:r w:rsidR="008C1784">
        <w:t>; salud; educación; acciones de protección social; infraestructura para la productividad y competitividad; gestión ambiental y de los recursos naturales; ordenamiento territorial; energías renovables; gestión de riesgo</w:t>
      </w:r>
      <w:r w:rsidR="007146F3">
        <w:t>;</w:t>
      </w:r>
      <w:r w:rsidR="008C1784">
        <w:t xml:space="preserve"> seguridad interna; entorno macroeconómico; política fiscal sostenible, entre otros.</w:t>
      </w:r>
    </w:p>
    <w:p w:rsidR="009A0BB6" w:rsidRDefault="009A0BB6" w:rsidP="00723EE3">
      <w:pPr>
        <w:jc w:val="both"/>
        <w:rPr>
          <w:sz w:val="18"/>
        </w:rPr>
      </w:pPr>
    </w:p>
    <w:p w:rsidR="00F061FE" w:rsidRPr="003B0A7E" w:rsidRDefault="00F061FE" w:rsidP="00723EE3">
      <w:pPr>
        <w:jc w:val="both"/>
        <w:rPr>
          <w:sz w:val="18"/>
        </w:rPr>
      </w:pPr>
    </w:p>
    <w:p w:rsidR="009A0BB6" w:rsidRDefault="009A0BB6" w:rsidP="00C774F3">
      <w:pPr>
        <w:pStyle w:val="Ttulo2"/>
        <w:numPr>
          <w:ilvl w:val="0"/>
          <w:numId w:val="3"/>
        </w:numPr>
        <w:spacing w:line="276" w:lineRule="auto"/>
        <w:ind w:left="567" w:hanging="567"/>
        <w:rPr>
          <w:rFonts w:ascii="Times New Roman" w:hAnsi="Times New Roman"/>
          <w:color w:val="auto"/>
          <w:sz w:val="24"/>
          <w:szCs w:val="24"/>
        </w:rPr>
      </w:pPr>
      <w:bookmarkStart w:id="21" w:name="_Toc32829797"/>
      <w:r>
        <w:rPr>
          <w:rFonts w:ascii="Times New Roman" w:hAnsi="Times New Roman"/>
          <w:color w:val="auto"/>
          <w:sz w:val="24"/>
          <w:szCs w:val="24"/>
        </w:rPr>
        <w:t>Fondos Extrapresupuestarios</w:t>
      </w:r>
      <w:bookmarkEnd w:id="21"/>
    </w:p>
    <w:p w:rsidR="009A0BB6" w:rsidRPr="003B0A7E" w:rsidRDefault="009A0BB6" w:rsidP="00E24F7B">
      <w:pPr>
        <w:rPr>
          <w:sz w:val="20"/>
        </w:rPr>
      </w:pPr>
    </w:p>
    <w:p w:rsidR="009A0BB6" w:rsidRDefault="009A0BB6" w:rsidP="00BF239D">
      <w:pPr>
        <w:jc w:val="both"/>
      </w:pPr>
      <w:r>
        <w:t xml:space="preserve">Tanto el </w:t>
      </w:r>
      <w:r w:rsidR="00E44360">
        <w:t>p</w:t>
      </w:r>
      <w:r>
        <w:t xml:space="preserve">royecto </w:t>
      </w:r>
      <w:r w:rsidR="00AB214E">
        <w:t xml:space="preserve">de </w:t>
      </w:r>
      <w:r w:rsidR="00E44360">
        <w:t>p</w:t>
      </w:r>
      <w:r w:rsidR="00AB214E">
        <w:t xml:space="preserve">resupuesto </w:t>
      </w:r>
      <w:r>
        <w:t xml:space="preserve">que se traslada al Congreso de la República para su análisis y aprobación, como el Presupuesto General de Ingresos y Egresos del Estado del Ejercicio Fiscal que corresponda, contiene el detalle y desglose </w:t>
      </w:r>
      <w:r w:rsidR="00AB214E">
        <w:t xml:space="preserve">de </w:t>
      </w:r>
      <w:r>
        <w:t xml:space="preserve">los ingresos y gastos de las entidades de la Administración Central. Por lo tanto, </w:t>
      </w:r>
      <w:r w:rsidR="00FB1D8B">
        <w:t>existen</w:t>
      </w:r>
      <w:r>
        <w:t xml:space="preserve"> otras asignaciones que al </w:t>
      </w:r>
      <w:r w:rsidR="00FB1D8B">
        <w:t>no figurar en</w:t>
      </w:r>
      <w:r>
        <w:t xml:space="preserve"> </w:t>
      </w:r>
      <w:r w:rsidR="00FB1D8B">
        <w:t xml:space="preserve">dichos </w:t>
      </w:r>
      <w:r>
        <w:t xml:space="preserve">documentos se consideran fondos extrapresupuestarios, entre los cuales se pueden mencionar: los ingresos propios o privativos, los saldos de caja, </w:t>
      </w:r>
      <w:r w:rsidR="00FB1D8B">
        <w:t xml:space="preserve">las rentas de la propiedad, </w:t>
      </w:r>
      <w:r>
        <w:t>los ingresos de operación, las transferencias corrientes y de capital, entre otros, de las entidades descentralizadas y autónomas y de las municipalidades del país.</w:t>
      </w:r>
      <w:r w:rsidR="001D785F">
        <w:t xml:space="preserve"> En este detalle de asignaciones extrapresupuestarias se deben excluir las transferencias corrientes y de capital que la Administración Central traslada a </w:t>
      </w:r>
      <w:r w:rsidR="00AB214E">
        <w:t>las</w:t>
      </w:r>
      <w:r w:rsidR="00ED0678">
        <w:t xml:space="preserve"> instituciones </w:t>
      </w:r>
      <w:r w:rsidR="00DB23E7">
        <w:t xml:space="preserve">descentralizadas y autónomas </w:t>
      </w:r>
      <w:r w:rsidR="00AB214E">
        <w:t xml:space="preserve">y a los gobiernos locales </w:t>
      </w:r>
      <w:r w:rsidR="00ED0678">
        <w:t>en calidad de aportes constitucionales o por leyes específicas</w:t>
      </w:r>
      <w:r w:rsidR="001D785F">
        <w:t xml:space="preserve">, </w:t>
      </w:r>
      <w:r w:rsidR="004020FA">
        <w:t xml:space="preserve">ya que dichos </w:t>
      </w:r>
      <w:r w:rsidR="001D785F">
        <w:t xml:space="preserve">montos </w:t>
      </w:r>
      <w:r w:rsidR="00FB1D8B">
        <w:t xml:space="preserve">sí </w:t>
      </w:r>
      <w:r w:rsidR="001D785F">
        <w:t>fueron incluidos en la formulación y aprobación del Presupuesto General de Ingresos y Egresos del Estado</w:t>
      </w:r>
      <w:r w:rsidR="00DB23E7">
        <w:t xml:space="preserve">, programados en la entidad </w:t>
      </w:r>
      <w:r w:rsidR="0099768A">
        <w:t xml:space="preserve">otorgante </w:t>
      </w:r>
      <w:r w:rsidR="00DB23E7">
        <w:t>que correspond</w:t>
      </w:r>
      <w:r w:rsidR="00FB1D8B">
        <w:t>a</w:t>
      </w:r>
      <w:r w:rsidR="001D785F">
        <w:t>.</w:t>
      </w:r>
    </w:p>
    <w:p w:rsidR="009A0BB6" w:rsidRPr="003B0A7E" w:rsidRDefault="009A0BB6" w:rsidP="00BF239D">
      <w:pPr>
        <w:jc w:val="both"/>
        <w:rPr>
          <w:sz w:val="22"/>
        </w:rPr>
      </w:pPr>
    </w:p>
    <w:p w:rsidR="000E0C87" w:rsidRDefault="00F6432D" w:rsidP="00BF239D">
      <w:pPr>
        <w:jc w:val="both"/>
      </w:pPr>
      <w:r>
        <w:t xml:space="preserve">De esa cuenta, en los siguientes dos cuadros se presenta el Presupuesto </w:t>
      </w:r>
      <w:r w:rsidR="00A74E6A">
        <w:t>Aprobado de I</w:t>
      </w:r>
      <w:r>
        <w:t xml:space="preserve">ngresos y </w:t>
      </w:r>
      <w:r w:rsidR="00A3418E">
        <w:t xml:space="preserve">el </w:t>
      </w:r>
      <w:r w:rsidR="008136F3">
        <w:t xml:space="preserve">Presupuesto </w:t>
      </w:r>
      <w:r w:rsidR="00A74E6A">
        <w:t xml:space="preserve">Percibido </w:t>
      </w:r>
      <w:r w:rsidR="008136F3">
        <w:t xml:space="preserve">de Ingresos </w:t>
      </w:r>
      <w:r w:rsidR="00A74E6A">
        <w:t>durante</w:t>
      </w:r>
      <w:r w:rsidR="00700012">
        <w:t xml:space="preserve"> el </w:t>
      </w:r>
      <w:r>
        <w:t>Ejercicio Fiscal 201</w:t>
      </w:r>
      <w:r w:rsidR="00E80AE0">
        <w:t>9</w:t>
      </w:r>
      <w:r>
        <w:t xml:space="preserve">, de las entidades descentralizadas y autónomas (sin incluir </w:t>
      </w:r>
      <w:r w:rsidR="00A3418E">
        <w:t>los</w:t>
      </w:r>
      <w:r>
        <w:t xml:space="preserve"> aporte</w:t>
      </w:r>
      <w:r w:rsidR="00A3418E">
        <w:t>s</w:t>
      </w:r>
      <w:r>
        <w:t xml:space="preserve"> de la Administración Central), bajo la Clasificación de Recursos por Rubro</w:t>
      </w:r>
      <w:r w:rsidR="00700012">
        <w:t xml:space="preserve">, en los cuales se puede destacar que en su conjunto, estas entidades </w:t>
      </w:r>
      <w:r w:rsidR="00DF0608">
        <w:t>ejecutaron</w:t>
      </w:r>
      <w:r w:rsidR="00700012">
        <w:t xml:space="preserve"> el </w:t>
      </w:r>
      <w:r w:rsidR="00E80AE0">
        <w:t>72.4</w:t>
      </w:r>
      <w:r w:rsidR="00700012">
        <w:t>% de su presupuesto de ingresos aprobado, lo que significa un bajo nivel de efectividad para percibir los ingresos programados, situación que vuelve a muchas de estas entidades, en altamente dependientes de los aportes del Gobierno Central para financiar sus actividades diarias.</w:t>
      </w:r>
      <w:r w:rsidR="008136F3">
        <w:t xml:space="preserve"> Esto ha ocasionado la emisión de leyes específicas para asignar y/o incrementar el traslado de recursos públicos vía aportes o transferencias, situación que provoca un alto nivel de rigide</w:t>
      </w:r>
      <w:r w:rsidR="00A3418E">
        <w:t>z</w:t>
      </w:r>
      <w:r w:rsidR="008136F3">
        <w:t xml:space="preserve"> al Presupuesto General de Ingresos y Egresos del Estado, ocasionando </w:t>
      </w:r>
      <w:r w:rsidR="00A3418E">
        <w:t xml:space="preserve">muchas veces </w:t>
      </w:r>
      <w:r w:rsidR="008136F3">
        <w:t>que los Ministerios de Estado o las Secretarías y Otras Dependencias del Ejecutivo dispongan de escasos recursos para el desarrollo de su gestión pública, encaminada a lograr el bienestar social y económico de la población</w:t>
      </w:r>
      <w:r w:rsidR="00A3418E">
        <w:t xml:space="preserve"> más necesitada del país.</w:t>
      </w:r>
    </w:p>
    <w:p w:rsidR="00700012" w:rsidRDefault="00700012" w:rsidP="00BF239D">
      <w:pPr>
        <w:jc w:val="both"/>
      </w:pPr>
    </w:p>
    <w:p w:rsidR="00A74E6A" w:rsidRDefault="00A74E6A" w:rsidP="00691DA3">
      <w:pPr>
        <w:jc w:val="center"/>
        <w:rPr>
          <w:b/>
        </w:rPr>
      </w:pPr>
    </w:p>
    <w:p w:rsidR="00691DA3" w:rsidRPr="00124AD6" w:rsidRDefault="00691DA3" w:rsidP="00691DA3">
      <w:pPr>
        <w:jc w:val="center"/>
        <w:rPr>
          <w:b/>
        </w:rPr>
      </w:pPr>
      <w:r w:rsidRPr="00124AD6">
        <w:rPr>
          <w:b/>
        </w:rPr>
        <w:t xml:space="preserve">Cuadro </w:t>
      </w:r>
      <w:r>
        <w:rPr>
          <w:b/>
        </w:rPr>
        <w:t>1</w:t>
      </w:r>
      <w:r w:rsidR="00F061FE">
        <w:rPr>
          <w:b/>
        </w:rPr>
        <w:t>7</w:t>
      </w:r>
      <w:r w:rsidR="000E0C87">
        <w:rPr>
          <w:b/>
        </w:rPr>
        <w:t xml:space="preserve"> (1/2)</w:t>
      </w:r>
    </w:p>
    <w:p w:rsidR="00691DA3" w:rsidRDefault="00691DA3" w:rsidP="00691DA3">
      <w:pPr>
        <w:jc w:val="center"/>
        <w:rPr>
          <w:b/>
        </w:rPr>
      </w:pPr>
      <w:r>
        <w:rPr>
          <w:b/>
        </w:rPr>
        <w:t xml:space="preserve">Presupuesto Aprobado de </w:t>
      </w:r>
      <w:r w:rsidR="000E0C87">
        <w:rPr>
          <w:b/>
        </w:rPr>
        <w:t xml:space="preserve">Ingresos de </w:t>
      </w:r>
      <w:r>
        <w:rPr>
          <w:b/>
        </w:rPr>
        <w:t>Entidades Descentralizadas y Autónomas</w:t>
      </w:r>
    </w:p>
    <w:p w:rsidR="009A0BB6" w:rsidRDefault="00691DA3" w:rsidP="00691DA3">
      <w:pPr>
        <w:jc w:val="center"/>
        <w:rPr>
          <w:b/>
        </w:rPr>
      </w:pPr>
      <w:r>
        <w:rPr>
          <w:b/>
        </w:rPr>
        <w:t>Ejercicio Fiscal 201</w:t>
      </w:r>
      <w:r w:rsidR="009E1E5D">
        <w:rPr>
          <w:b/>
        </w:rPr>
        <w:t>9*</w:t>
      </w:r>
    </w:p>
    <w:p w:rsidR="00691DA3" w:rsidRDefault="00691DA3" w:rsidP="00691DA3">
      <w:pPr>
        <w:jc w:val="center"/>
        <w:rPr>
          <w:b/>
        </w:rPr>
      </w:pPr>
      <w:r>
        <w:rPr>
          <w:b/>
        </w:rPr>
        <w:t>(En Millones de Quetzales)</w:t>
      </w:r>
    </w:p>
    <w:p w:rsidR="009E1E5D" w:rsidRDefault="009E1E5D" w:rsidP="00691DA3">
      <w:pPr>
        <w:jc w:val="center"/>
        <w:rPr>
          <w:b/>
        </w:rPr>
      </w:pPr>
      <w:r w:rsidRPr="009E1E5D">
        <w:rPr>
          <w:noProof/>
          <w:lang w:val="es-GT" w:eastAsia="es-GT"/>
        </w:rPr>
        <w:drawing>
          <wp:inline distT="0" distB="0" distL="0" distR="0" wp14:anchorId="1293BE88" wp14:editId="4901176F">
            <wp:extent cx="5866790" cy="6825081"/>
            <wp:effectExtent l="0" t="0" r="63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76726" cy="6836640"/>
                    </a:xfrm>
                    <a:prstGeom prst="rect">
                      <a:avLst/>
                    </a:prstGeom>
                    <a:noFill/>
                    <a:ln>
                      <a:noFill/>
                    </a:ln>
                  </pic:spPr>
                </pic:pic>
              </a:graphicData>
            </a:graphic>
          </wp:inline>
        </w:drawing>
      </w:r>
    </w:p>
    <w:p w:rsidR="009E1E5D" w:rsidRDefault="009E1E5D" w:rsidP="00691DA3">
      <w:pPr>
        <w:jc w:val="center"/>
      </w:pPr>
    </w:p>
    <w:p w:rsidR="000E0C87" w:rsidRPr="00124AD6" w:rsidRDefault="000E0C87" w:rsidP="000E0C87">
      <w:pPr>
        <w:jc w:val="center"/>
        <w:rPr>
          <w:b/>
        </w:rPr>
      </w:pPr>
      <w:r w:rsidRPr="00124AD6">
        <w:rPr>
          <w:b/>
        </w:rPr>
        <w:t xml:space="preserve">Cuadro </w:t>
      </w:r>
      <w:r>
        <w:rPr>
          <w:b/>
        </w:rPr>
        <w:t>1</w:t>
      </w:r>
      <w:r w:rsidR="00F061FE">
        <w:rPr>
          <w:b/>
        </w:rPr>
        <w:t>7</w:t>
      </w:r>
      <w:r>
        <w:rPr>
          <w:b/>
        </w:rPr>
        <w:t xml:space="preserve"> (2/2)</w:t>
      </w:r>
    </w:p>
    <w:p w:rsidR="000E0C87" w:rsidRDefault="000E0C87" w:rsidP="000E0C87">
      <w:pPr>
        <w:jc w:val="center"/>
        <w:rPr>
          <w:b/>
        </w:rPr>
      </w:pPr>
      <w:r>
        <w:rPr>
          <w:b/>
        </w:rPr>
        <w:t>Presupuesto Aprobado de Ingresos de Entidades Descentralizadas y Autónomas</w:t>
      </w:r>
    </w:p>
    <w:p w:rsidR="000E0C87" w:rsidRDefault="000E0C87" w:rsidP="000E0C87">
      <w:pPr>
        <w:jc w:val="center"/>
        <w:rPr>
          <w:b/>
        </w:rPr>
      </w:pPr>
      <w:r>
        <w:rPr>
          <w:b/>
        </w:rPr>
        <w:t>Ejercicio Fiscal 201</w:t>
      </w:r>
      <w:r w:rsidR="009E1E5D">
        <w:rPr>
          <w:b/>
        </w:rPr>
        <w:t>9</w:t>
      </w:r>
      <w:r>
        <w:rPr>
          <w:b/>
        </w:rPr>
        <w:t>*</w:t>
      </w:r>
    </w:p>
    <w:p w:rsidR="000E0C87" w:rsidRDefault="000E0C87" w:rsidP="000E0C87">
      <w:pPr>
        <w:jc w:val="center"/>
        <w:rPr>
          <w:b/>
        </w:rPr>
      </w:pPr>
      <w:r>
        <w:rPr>
          <w:b/>
        </w:rPr>
        <w:t>(En Millones de Quetzales)</w:t>
      </w:r>
    </w:p>
    <w:p w:rsidR="009E1E5D" w:rsidRDefault="009E1E5D" w:rsidP="000E0C87">
      <w:pPr>
        <w:jc w:val="center"/>
        <w:rPr>
          <w:b/>
        </w:rPr>
      </w:pPr>
      <w:r w:rsidRPr="009E1E5D">
        <w:rPr>
          <w:noProof/>
          <w:lang w:val="es-GT" w:eastAsia="es-GT"/>
        </w:rPr>
        <w:drawing>
          <wp:inline distT="0" distB="0" distL="0" distR="0" wp14:anchorId="49ECE7B9" wp14:editId="20827B5A">
            <wp:extent cx="5761737" cy="6612941"/>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8631" cy="6620853"/>
                    </a:xfrm>
                    <a:prstGeom prst="rect">
                      <a:avLst/>
                    </a:prstGeom>
                    <a:noFill/>
                    <a:ln>
                      <a:noFill/>
                    </a:ln>
                  </pic:spPr>
                </pic:pic>
              </a:graphicData>
            </a:graphic>
          </wp:inline>
        </w:drawing>
      </w:r>
    </w:p>
    <w:p w:rsidR="00A74E6A" w:rsidRPr="00A74E6A" w:rsidRDefault="00A74E6A" w:rsidP="00A74E6A">
      <w:pPr>
        <w:rPr>
          <w:sz w:val="18"/>
        </w:rPr>
      </w:pPr>
      <w:r>
        <w:rPr>
          <w:sz w:val="18"/>
        </w:rPr>
        <w:t xml:space="preserve">     </w:t>
      </w:r>
      <w:r w:rsidRPr="00A74E6A">
        <w:rPr>
          <w:sz w:val="18"/>
        </w:rPr>
        <w:t>* Cifras</w:t>
      </w:r>
      <w:r>
        <w:rPr>
          <w:sz w:val="18"/>
        </w:rPr>
        <w:t xml:space="preserve"> preliminares</w:t>
      </w:r>
    </w:p>
    <w:p w:rsidR="000E0C87" w:rsidRDefault="00A74E6A" w:rsidP="000E0C87">
      <w:r>
        <w:rPr>
          <w:sz w:val="18"/>
        </w:rPr>
        <w:t xml:space="preserve">        </w:t>
      </w:r>
      <w:r w:rsidR="000E0C87" w:rsidRPr="004E678D">
        <w:rPr>
          <w:sz w:val="18"/>
        </w:rPr>
        <w:t xml:space="preserve">Fuente: </w:t>
      </w:r>
      <w:r w:rsidR="000E0C87">
        <w:rPr>
          <w:sz w:val="18"/>
        </w:rPr>
        <w:t>Ministerio de Finanzas Públicas, con base en el SICOIN.DES.</w:t>
      </w:r>
    </w:p>
    <w:p w:rsidR="009A0BB6" w:rsidRDefault="009A0BB6" w:rsidP="00E24F7B"/>
    <w:p w:rsidR="0099768A" w:rsidRDefault="0099768A" w:rsidP="00E24F7B"/>
    <w:p w:rsidR="000E0C87" w:rsidRPr="00124AD6" w:rsidRDefault="000E0C87" w:rsidP="000E0C87">
      <w:pPr>
        <w:jc w:val="center"/>
        <w:rPr>
          <w:b/>
        </w:rPr>
      </w:pPr>
      <w:r w:rsidRPr="00124AD6">
        <w:rPr>
          <w:b/>
        </w:rPr>
        <w:t xml:space="preserve">Cuadro </w:t>
      </w:r>
      <w:r>
        <w:rPr>
          <w:b/>
        </w:rPr>
        <w:t>1</w:t>
      </w:r>
      <w:r w:rsidR="00F061FE">
        <w:rPr>
          <w:b/>
        </w:rPr>
        <w:t>8</w:t>
      </w:r>
      <w:r>
        <w:rPr>
          <w:b/>
        </w:rPr>
        <w:t xml:space="preserve"> (1/2)</w:t>
      </w:r>
    </w:p>
    <w:p w:rsidR="000E0C87" w:rsidRDefault="000E0C87" w:rsidP="000E0C87">
      <w:pPr>
        <w:jc w:val="center"/>
        <w:rPr>
          <w:b/>
        </w:rPr>
      </w:pPr>
      <w:r>
        <w:rPr>
          <w:b/>
        </w:rPr>
        <w:t>Presupuesto Percibido de Ingresos de Entidades Descentralizadas y Autónomas</w:t>
      </w:r>
    </w:p>
    <w:p w:rsidR="000E0C87" w:rsidRDefault="000E0C87" w:rsidP="000E0C87">
      <w:pPr>
        <w:jc w:val="center"/>
        <w:rPr>
          <w:b/>
        </w:rPr>
      </w:pPr>
      <w:r>
        <w:rPr>
          <w:b/>
        </w:rPr>
        <w:t>Ejercicio Fiscal 201</w:t>
      </w:r>
      <w:r w:rsidR="00085F77">
        <w:rPr>
          <w:b/>
        </w:rPr>
        <w:t>9</w:t>
      </w:r>
      <w:r>
        <w:rPr>
          <w:b/>
        </w:rPr>
        <w:t>*</w:t>
      </w:r>
    </w:p>
    <w:p w:rsidR="000E0C87" w:rsidRDefault="000E0C87" w:rsidP="000E0C87">
      <w:pPr>
        <w:jc w:val="center"/>
        <w:rPr>
          <w:b/>
        </w:rPr>
      </w:pPr>
      <w:r>
        <w:rPr>
          <w:b/>
        </w:rPr>
        <w:t>(En Millones de Quetzales)</w:t>
      </w:r>
    </w:p>
    <w:p w:rsidR="00085F77" w:rsidRDefault="00085F77" w:rsidP="000E0C87">
      <w:pPr>
        <w:jc w:val="center"/>
        <w:rPr>
          <w:b/>
        </w:rPr>
      </w:pPr>
      <w:r w:rsidRPr="00085F77">
        <w:rPr>
          <w:noProof/>
          <w:lang w:val="es-GT" w:eastAsia="es-GT"/>
        </w:rPr>
        <w:drawing>
          <wp:inline distT="0" distB="0" distL="0" distR="0" wp14:anchorId="48C2E8B0" wp14:editId="78657C3B">
            <wp:extent cx="6169462" cy="6781190"/>
            <wp:effectExtent l="0" t="0" r="3175" b="6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0970" cy="6782847"/>
                    </a:xfrm>
                    <a:prstGeom prst="rect">
                      <a:avLst/>
                    </a:prstGeom>
                    <a:noFill/>
                    <a:ln>
                      <a:noFill/>
                    </a:ln>
                  </pic:spPr>
                </pic:pic>
              </a:graphicData>
            </a:graphic>
          </wp:inline>
        </w:drawing>
      </w:r>
    </w:p>
    <w:p w:rsidR="00085F77" w:rsidRDefault="00085F77" w:rsidP="000E0C87">
      <w:pPr>
        <w:jc w:val="center"/>
      </w:pPr>
    </w:p>
    <w:p w:rsidR="006F70B5" w:rsidRDefault="006F70B5" w:rsidP="000E0C87">
      <w:pPr>
        <w:jc w:val="center"/>
        <w:rPr>
          <w:b/>
        </w:rPr>
      </w:pPr>
    </w:p>
    <w:p w:rsidR="000E0C87" w:rsidRPr="00124AD6" w:rsidRDefault="000E0C87" w:rsidP="000E0C87">
      <w:pPr>
        <w:jc w:val="center"/>
        <w:rPr>
          <w:b/>
        </w:rPr>
      </w:pPr>
      <w:r w:rsidRPr="00124AD6">
        <w:rPr>
          <w:b/>
        </w:rPr>
        <w:t xml:space="preserve">Cuadro </w:t>
      </w:r>
      <w:r>
        <w:rPr>
          <w:b/>
        </w:rPr>
        <w:t>1</w:t>
      </w:r>
      <w:r w:rsidR="00F061FE">
        <w:rPr>
          <w:b/>
        </w:rPr>
        <w:t>8</w:t>
      </w:r>
      <w:r>
        <w:rPr>
          <w:b/>
        </w:rPr>
        <w:t xml:space="preserve"> (2/2)</w:t>
      </w:r>
    </w:p>
    <w:p w:rsidR="000E0C87" w:rsidRDefault="000E0C87" w:rsidP="000E0C87">
      <w:pPr>
        <w:jc w:val="center"/>
        <w:rPr>
          <w:b/>
        </w:rPr>
      </w:pPr>
      <w:r>
        <w:rPr>
          <w:b/>
        </w:rPr>
        <w:t>Presupuesto Percibido de Ingresos de Entidades Descentralizadas y Autónomas</w:t>
      </w:r>
    </w:p>
    <w:p w:rsidR="000E0C87" w:rsidRDefault="000E0C87" w:rsidP="000E0C87">
      <w:pPr>
        <w:jc w:val="center"/>
        <w:rPr>
          <w:b/>
        </w:rPr>
      </w:pPr>
      <w:r>
        <w:rPr>
          <w:b/>
        </w:rPr>
        <w:t>Ejercicio Fiscal 201</w:t>
      </w:r>
      <w:r w:rsidR="00A74E6A">
        <w:rPr>
          <w:b/>
        </w:rPr>
        <w:t>9</w:t>
      </w:r>
      <w:r>
        <w:rPr>
          <w:b/>
        </w:rPr>
        <w:t>*</w:t>
      </w:r>
    </w:p>
    <w:p w:rsidR="000E0C87" w:rsidRDefault="000E0C87" w:rsidP="000E0C87">
      <w:pPr>
        <w:jc w:val="center"/>
        <w:rPr>
          <w:b/>
        </w:rPr>
      </w:pPr>
      <w:r>
        <w:rPr>
          <w:b/>
        </w:rPr>
        <w:t>(En Millones de Quetzales)</w:t>
      </w:r>
    </w:p>
    <w:p w:rsidR="00085F77" w:rsidRDefault="00085F77" w:rsidP="000E0C87">
      <w:pPr>
        <w:jc w:val="center"/>
        <w:rPr>
          <w:b/>
        </w:rPr>
      </w:pPr>
      <w:r w:rsidRPr="00085F77">
        <w:rPr>
          <w:noProof/>
          <w:lang w:val="es-GT" w:eastAsia="es-GT"/>
        </w:rPr>
        <w:drawing>
          <wp:inline distT="0" distB="0" distL="0" distR="0" wp14:anchorId="685BCA88" wp14:editId="2475C136">
            <wp:extent cx="6049670" cy="6664147"/>
            <wp:effectExtent l="0" t="0" r="8255" b="381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51480" cy="6666141"/>
                    </a:xfrm>
                    <a:prstGeom prst="rect">
                      <a:avLst/>
                    </a:prstGeom>
                    <a:noFill/>
                    <a:ln>
                      <a:noFill/>
                    </a:ln>
                  </pic:spPr>
                </pic:pic>
              </a:graphicData>
            </a:graphic>
          </wp:inline>
        </w:drawing>
      </w:r>
    </w:p>
    <w:p w:rsidR="000D786F" w:rsidRPr="004E678D" w:rsidRDefault="000D786F" w:rsidP="000D786F">
      <w:pPr>
        <w:jc w:val="both"/>
        <w:rPr>
          <w:sz w:val="18"/>
        </w:rPr>
      </w:pPr>
      <w:r w:rsidRPr="004E678D">
        <w:rPr>
          <w:sz w:val="18"/>
          <w:lang w:val="es-GT"/>
        </w:rPr>
        <w:t>* Cifras preliminares</w:t>
      </w:r>
    </w:p>
    <w:p w:rsidR="000D786F" w:rsidRDefault="006469FA" w:rsidP="000D786F">
      <w:pPr>
        <w:rPr>
          <w:sz w:val="18"/>
        </w:rPr>
      </w:pPr>
      <w:r>
        <w:rPr>
          <w:sz w:val="18"/>
        </w:rPr>
        <w:t xml:space="preserve">   </w:t>
      </w:r>
      <w:r w:rsidR="000D786F" w:rsidRPr="004E678D">
        <w:rPr>
          <w:sz w:val="18"/>
        </w:rPr>
        <w:t xml:space="preserve">Fuente: </w:t>
      </w:r>
      <w:r w:rsidR="000D786F">
        <w:rPr>
          <w:sz w:val="18"/>
        </w:rPr>
        <w:t>Ministerio de Finanzas Públicas, con base en el SICOIN.DES.</w:t>
      </w:r>
    </w:p>
    <w:p w:rsidR="00085F77" w:rsidRDefault="006469FA">
      <w:pPr>
        <w:rPr>
          <w:sz w:val="18"/>
        </w:rPr>
      </w:pPr>
      <w:r>
        <w:rPr>
          <w:sz w:val="18"/>
        </w:rPr>
        <w:t xml:space="preserve"> </w:t>
      </w:r>
      <w:r w:rsidR="00085F77">
        <w:rPr>
          <w:sz w:val="18"/>
        </w:rPr>
        <w:br w:type="page"/>
      </w:r>
    </w:p>
    <w:p w:rsidR="00C620A4" w:rsidRPr="00D2637E" w:rsidRDefault="00C620A4" w:rsidP="00C620A4">
      <w:pPr>
        <w:pStyle w:val="Ttulo1"/>
        <w:rPr>
          <w:lang w:val="es-MX"/>
        </w:rPr>
      </w:pPr>
      <w:bookmarkStart w:id="22" w:name="_Toc417992544"/>
      <w:bookmarkStart w:id="23" w:name="_Toc443491862"/>
      <w:bookmarkStart w:id="24" w:name="_Toc482339312"/>
      <w:bookmarkStart w:id="25" w:name="_Toc32829798"/>
      <w:bookmarkEnd w:id="20"/>
      <w:r w:rsidRPr="00D2637E">
        <w:rPr>
          <w:lang w:val="es-MX"/>
        </w:rPr>
        <w:lastRenderedPageBreak/>
        <w:t>Logros de la Gestión de las Finanzas Públicas 201</w:t>
      </w:r>
      <w:r w:rsidR="0097754B" w:rsidRPr="00D2637E">
        <w:rPr>
          <w:lang w:val="es-MX"/>
        </w:rPr>
        <w:t>9</w:t>
      </w:r>
      <w:bookmarkEnd w:id="22"/>
      <w:bookmarkEnd w:id="23"/>
      <w:bookmarkEnd w:id="24"/>
      <w:bookmarkEnd w:id="25"/>
    </w:p>
    <w:p w:rsidR="00C620A4" w:rsidRPr="009F6AC2" w:rsidRDefault="00C620A4" w:rsidP="00C620A4">
      <w:pPr>
        <w:rPr>
          <w:rFonts w:eastAsia="Calibri"/>
          <w:lang w:val="es-GT" w:eastAsia="en-US" w:bidi="en-US"/>
        </w:rPr>
      </w:pPr>
    </w:p>
    <w:p w:rsidR="00C620A4" w:rsidRPr="009F6AC2" w:rsidRDefault="00C620A4" w:rsidP="00C620A4">
      <w:pPr>
        <w:rPr>
          <w:rFonts w:eastAsia="Calibri"/>
          <w:lang w:val="es-GT" w:eastAsia="en-US" w:bidi="en-US"/>
        </w:rPr>
      </w:pPr>
      <w:r w:rsidRPr="009F6AC2">
        <w:rPr>
          <w:rFonts w:eastAsia="Calibri"/>
          <w:lang w:val="es-GT" w:eastAsia="en-US" w:bidi="en-US"/>
        </w:rPr>
        <w:t xml:space="preserve">Dentro de los principales logros </w:t>
      </w:r>
      <w:r w:rsidR="0043775E">
        <w:rPr>
          <w:rFonts w:eastAsia="Calibri"/>
          <w:lang w:val="es-GT" w:eastAsia="en-US" w:bidi="en-US"/>
        </w:rPr>
        <w:t xml:space="preserve">y resultados </w:t>
      </w:r>
      <w:r w:rsidRPr="009F6AC2">
        <w:rPr>
          <w:rFonts w:eastAsia="Calibri"/>
          <w:lang w:val="es-GT" w:eastAsia="en-US" w:bidi="en-US"/>
        </w:rPr>
        <w:t>obtenidos durante 201</w:t>
      </w:r>
      <w:r w:rsidR="0097754B">
        <w:rPr>
          <w:rFonts w:eastAsia="Calibri"/>
          <w:lang w:val="es-GT" w:eastAsia="en-US" w:bidi="en-US"/>
        </w:rPr>
        <w:t>9</w:t>
      </w:r>
      <w:r w:rsidRPr="009F6AC2">
        <w:rPr>
          <w:rFonts w:eastAsia="Calibri"/>
          <w:lang w:val="es-GT" w:eastAsia="en-US" w:bidi="en-US"/>
        </w:rPr>
        <w:t xml:space="preserve"> se pueden destacar:</w:t>
      </w:r>
    </w:p>
    <w:p w:rsidR="00C620A4" w:rsidRPr="00260C73" w:rsidRDefault="00C620A4" w:rsidP="00C620A4">
      <w:pPr>
        <w:rPr>
          <w:rFonts w:eastAsia="Calibri"/>
          <w:sz w:val="28"/>
          <w:lang w:val="es-GT" w:eastAsia="en-US" w:bidi="en-US"/>
        </w:rPr>
      </w:pPr>
    </w:p>
    <w:p w:rsidR="00C620A4" w:rsidRPr="009F6AC2" w:rsidRDefault="00C620A4" w:rsidP="00C620A4">
      <w:pPr>
        <w:pStyle w:val="Ttulo2"/>
        <w:rPr>
          <w:rFonts w:ascii="Times New Roman" w:eastAsia="Calibri" w:hAnsi="Times New Roman"/>
          <w:color w:val="auto"/>
          <w:sz w:val="24"/>
          <w:szCs w:val="24"/>
          <w:lang w:val="es-GT" w:eastAsia="en-US" w:bidi="en-US"/>
        </w:rPr>
      </w:pPr>
      <w:bookmarkStart w:id="26" w:name="_Toc417992545"/>
      <w:bookmarkStart w:id="27" w:name="_Toc443491863"/>
      <w:bookmarkStart w:id="28" w:name="_Toc482339313"/>
      <w:bookmarkStart w:id="29" w:name="_Toc32829799"/>
      <w:r>
        <w:rPr>
          <w:rFonts w:ascii="Times New Roman" w:eastAsia="Calibri" w:hAnsi="Times New Roman"/>
          <w:color w:val="auto"/>
          <w:sz w:val="24"/>
          <w:szCs w:val="24"/>
          <w:lang w:val="es-GT" w:eastAsia="en-US" w:bidi="en-US"/>
        </w:rPr>
        <w:t>Gobierno Abierto y Transparencia</w:t>
      </w:r>
      <w:bookmarkEnd w:id="26"/>
      <w:bookmarkEnd w:id="27"/>
      <w:r>
        <w:rPr>
          <w:rFonts w:ascii="Times New Roman" w:eastAsia="Calibri" w:hAnsi="Times New Roman"/>
          <w:color w:val="auto"/>
          <w:sz w:val="24"/>
          <w:szCs w:val="24"/>
          <w:lang w:val="es-GT" w:eastAsia="en-US" w:bidi="en-US"/>
        </w:rPr>
        <w:t xml:space="preserve"> Fiscal</w:t>
      </w:r>
      <w:bookmarkEnd w:id="28"/>
      <w:bookmarkEnd w:id="29"/>
    </w:p>
    <w:p w:rsidR="00C620A4" w:rsidRDefault="00C620A4" w:rsidP="00C620A4">
      <w:pPr>
        <w:jc w:val="both"/>
        <w:rPr>
          <w:rFonts w:eastAsia="Calibri"/>
          <w:lang w:val="es-GT" w:eastAsia="en-US" w:bidi="en-US"/>
        </w:rPr>
      </w:pPr>
    </w:p>
    <w:p w:rsidR="00F079F1" w:rsidRDefault="0043775E" w:rsidP="00C620A4">
      <w:pPr>
        <w:jc w:val="both"/>
        <w:rPr>
          <w:rFonts w:eastAsia="Calibri"/>
          <w:lang w:val="es-GT" w:eastAsia="en-US" w:bidi="en-US"/>
        </w:rPr>
      </w:pPr>
      <w:r>
        <w:rPr>
          <w:rFonts w:eastAsia="Calibri"/>
          <w:lang w:val="es-GT" w:eastAsia="en-US" w:bidi="en-US"/>
        </w:rPr>
        <w:t xml:space="preserve">Durante el </w:t>
      </w:r>
      <w:r w:rsidR="00D2637E">
        <w:rPr>
          <w:rFonts w:eastAsia="Calibri"/>
          <w:lang w:val="es-GT" w:eastAsia="en-US" w:bidi="en-US"/>
        </w:rPr>
        <w:t>E</w:t>
      </w:r>
      <w:r>
        <w:rPr>
          <w:rFonts w:eastAsia="Calibri"/>
          <w:lang w:val="es-GT" w:eastAsia="en-US" w:bidi="en-US"/>
        </w:rPr>
        <w:t xml:space="preserve">jercicio </w:t>
      </w:r>
      <w:r w:rsidR="00D2637E">
        <w:rPr>
          <w:rFonts w:eastAsia="Calibri"/>
          <w:lang w:val="es-GT" w:eastAsia="en-US" w:bidi="en-US"/>
        </w:rPr>
        <w:t>F</w:t>
      </w:r>
      <w:r>
        <w:rPr>
          <w:rFonts w:eastAsia="Calibri"/>
          <w:lang w:val="es-GT" w:eastAsia="en-US" w:bidi="en-US"/>
        </w:rPr>
        <w:t>iscal 201</w:t>
      </w:r>
      <w:r w:rsidR="0097754B">
        <w:rPr>
          <w:rFonts w:eastAsia="Calibri"/>
          <w:lang w:val="es-GT" w:eastAsia="en-US" w:bidi="en-US"/>
        </w:rPr>
        <w:t>9</w:t>
      </w:r>
      <w:r>
        <w:rPr>
          <w:rFonts w:eastAsia="Calibri"/>
          <w:lang w:val="es-GT" w:eastAsia="en-US" w:bidi="en-US"/>
        </w:rPr>
        <w:t xml:space="preserve"> se </w:t>
      </w:r>
      <w:r w:rsidR="00D41D38">
        <w:rPr>
          <w:rFonts w:eastAsia="Calibri"/>
          <w:lang w:val="es-GT" w:eastAsia="en-US" w:bidi="en-US"/>
        </w:rPr>
        <w:t>dio inicio formal al</w:t>
      </w:r>
      <w:r>
        <w:rPr>
          <w:rFonts w:eastAsia="Calibri"/>
          <w:lang w:val="es-GT" w:eastAsia="en-US" w:bidi="en-US"/>
        </w:rPr>
        <w:t xml:space="preserve"> cumplimiento e implementación de los compromisos del </w:t>
      </w:r>
      <w:r w:rsidR="00D41D38">
        <w:rPr>
          <w:rFonts w:eastAsia="Calibri"/>
          <w:lang w:val="es-GT" w:eastAsia="en-US" w:bidi="en-US"/>
        </w:rPr>
        <w:t>Cuarto</w:t>
      </w:r>
      <w:r>
        <w:rPr>
          <w:rFonts w:eastAsia="Calibri"/>
          <w:lang w:val="es-GT" w:eastAsia="en-US" w:bidi="en-US"/>
        </w:rPr>
        <w:t xml:space="preserve"> Plan de Acción Nacional de Gobierno Abierto 201</w:t>
      </w:r>
      <w:r w:rsidR="00D41D38">
        <w:rPr>
          <w:rFonts w:eastAsia="Calibri"/>
          <w:lang w:val="es-GT" w:eastAsia="en-US" w:bidi="en-US"/>
        </w:rPr>
        <w:t>8-2020</w:t>
      </w:r>
      <w:r>
        <w:rPr>
          <w:rFonts w:eastAsia="Calibri"/>
          <w:lang w:val="es-GT" w:eastAsia="en-US" w:bidi="en-US"/>
        </w:rPr>
        <w:t xml:space="preserve">, considerando que </w:t>
      </w:r>
      <w:r w:rsidR="00D41D38">
        <w:rPr>
          <w:rFonts w:eastAsia="Calibri"/>
          <w:lang w:val="es-GT" w:eastAsia="en-US" w:bidi="en-US"/>
        </w:rPr>
        <w:t>el Presidente de la República lo validó oficialmente el 28 de noviembre de 201</w:t>
      </w:r>
      <w:r w:rsidR="00CA330C">
        <w:rPr>
          <w:rFonts w:eastAsia="Calibri"/>
          <w:lang w:val="es-GT" w:eastAsia="en-US" w:bidi="en-US"/>
        </w:rPr>
        <w:t>8</w:t>
      </w:r>
      <w:r w:rsidR="00D41D38">
        <w:rPr>
          <w:rFonts w:eastAsia="Calibri"/>
          <w:lang w:val="es-GT" w:eastAsia="en-US" w:bidi="en-US"/>
        </w:rPr>
        <w:t xml:space="preserve"> y cuya vigencia inició el 1 de diciembre de 2018. Durante ese mes, las instituciones públicas responsables de</w:t>
      </w:r>
      <w:r w:rsidR="00F079F1">
        <w:rPr>
          <w:rFonts w:eastAsia="Calibri"/>
          <w:lang w:val="es-GT" w:eastAsia="en-US" w:bidi="en-US"/>
        </w:rPr>
        <w:t>l</w:t>
      </w:r>
      <w:r w:rsidR="00D41D38">
        <w:rPr>
          <w:rFonts w:eastAsia="Calibri"/>
          <w:lang w:val="es-GT" w:eastAsia="en-US" w:bidi="en-US"/>
        </w:rPr>
        <w:t xml:space="preserve"> cumplimiento de compromisos</w:t>
      </w:r>
      <w:r w:rsidR="00F079F1">
        <w:rPr>
          <w:rFonts w:eastAsia="Calibri"/>
          <w:lang w:val="es-GT" w:eastAsia="en-US" w:bidi="en-US"/>
        </w:rPr>
        <w:t xml:space="preserve"> y metas formularon los planes </w:t>
      </w:r>
      <w:r w:rsidR="00CA6464">
        <w:rPr>
          <w:rFonts w:eastAsia="Calibri"/>
          <w:lang w:val="es-GT" w:eastAsia="en-US" w:bidi="en-US"/>
        </w:rPr>
        <w:t xml:space="preserve">de trabajo </w:t>
      </w:r>
      <w:r w:rsidR="00F079F1">
        <w:rPr>
          <w:rFonts w:eastAsia="Calibri"/>
          <w:lang w:val="es-GT" w:eastAsia="en-US" w:bidi="en-US"/>
        </w:rPr>
        <w:t>y cronogramas de cada compromiso, con la definición de actividades específicas y fechas de cumplimiento, así como la elaboración de una Matriz de Ponderación que permita divulgar periódicamente</w:t>
      </w:r>
      <w:r w:rsidR="006F5527">
        <w:rPr>
          <w:rFonts w:eastAsia="Calibri"/>
          <w:lang w:val="es-GT" w:eastAsia="en-US" w:bidi="en-US"/>
        </w:rPr>
        <w:t>,</w:t>
      </w:r>
      <w:r w:rsidR="00F079F1">
        <w:rPr>
          <w:rFonts w:eastAsia="Calibri"/>
          <w:lang w:val="es-GT" w:eastAsia="en-US" w:bidi="en-US"/>
        </w:rPr>
        <w:t xml:space="preserve"> el grado de avance de cada compromiso y meta, tanto en las páginas web </w:t>
      </w:r>
      <w:r w:rsidR="006F5527">
        <w:rPr>
          <w:rFonts w:eastAsia="Calibri"/>
          <w:lang w:val="es-GT" w:eastAsia="en-US" w:bidi="en-US"/>
        </w:rPr>
        <w:t xml:space="preserve">de las </w:t>
      </w:r>
      <w:r w:rsidR="00F079F1">
        <w:rPr>
          <w:rFonts w:eastAsia="Calibri"/>
          <w:lang w:val="es-GT" w:eastAsia="en-US" w:bidi="en-US"/>
        </w:rPr>
        <w:t>institucion</w:t>
      </w:r>
      <w:r w:rsidR="006F5527">
        <w:rPr>
          <w:rFonts w:eastAsia="Calibri"/>
          <w:lang w:val="es-GT" w:eastAsia="en-US" w:bidi="en-US"/>
        </w:rPr>
        <w:t>es públicas</w:t>
      </w:r>
      <w:r w:rsidR="00F079F1">
        <w:rPr>
          <w:rFonts w:eastAsia="Calibri"/>
          <w:lang w:val="es-GT" w:eastAsia="en-US" w:bidi="en-US"/>
        </w:rPr>
        <w:t>, como en el Tablero de Seguimiento que se publica en la página de Gobierno Abierto, a cargo de la Comisión Presidencial de Gestión Pública Abierta y Transparencia (GPAT).</w:t>
      </w:r>
    </w:p>
    <w:p w:rsidR="00117A88" w:rsidRDefault="00117A88" w:rsidP="00C620A4">
      <w:pPr>
        <w:jc w:val="both"/>
        <w:rPr>
          <w:rFonts w:eastAsia="Calibri"/>
          <w:lang w:val="es-GT" w:eastAsia="en-US" w:bidi="en-US"/>
        </w:rPr>
      </w:pPr>
    </w:p>
    <w:p w:rsidR="006F5527" w:rsidRDefault="006F5527" w:rsidP="00C620A4">
      <w:pPr>
        <w:jc w:val="both"/>
        <w:rPr>
          <w:rFonts w:eastAsia="Calibri"/>
          <w:lang w:val="es-GT" w:eastAsia="en-US" w:bidi="en-US"/>
        </w:rPr>
      </w:pPr>
      <w:r>
        <w:rPr>
          <w:rFonts w:eastAsia="Calibri"/>
          <w:lang w:val="es-GT" w:eastAsia="en-US" w:bidi="en-US"/>
        </w:rPr>
        <w:t xml:space="preserve">El Cuarto Plan de Acción Nacional de Gobierno Abierto 2018-2020 está integrado por </w:t>
      </w:r>
      <w:r w:rsidR="00CA330C">
        <w:rPr>
          <w:rFonts w:eastAsia="Calibri"/>
          <w:lang w:val="es-GT" w:eastAsia="en-US" w:bidi="en-US"/>
        </w:rPr>
        <w:t xml:space="preserve">24 compromisos y 137 hitos o metas que se agrupan en los </w:t>
      </w:r>
      <w:r>
        <w:rPr>
          <w:rFonts w:eastAsia="Calibri"/>
          <w:lang w:val="es-GT" w:eastAsia="en-US" w:bidi="en-US"/>
        </w:rPr>
        <w:t>12 ejes temáticos</w:t>
      </w:r>
      <w:r w:rsidR="00CA330C">
        <w:rPr>
          <w:rFonts w:eastAsia="Calibri"/>
          <w:lang w:val="es-GT" w:eastAsia="en-US" w:bidi="en-US"/>
        </w:rPr>
        <w:t xml:space="preserve"> que a continuación se indican:</w:t>
      </w:r>
    </w:p>
    <w:p w:rsidR="00884D4E" w:rsidRPr="00260C73" w:rsidRDefault="00884D4E" w:rsidP="00C620A4">
      <w:pPr>
        <w:jc w:val="both"/>
        <w:rPr>
          <w:rFonts w:eastAsia="Calibri"/>
          <w:sz w:val="28"/>
          <w:lang w:val="es-GT" w:eastAsia="en-US" w:bidi="en-US"/>
        </w:rPr>
      </w:pPr>
    </w:p>
    <w:p w:rsidR="00884D4E" w:rsidRPr="00CD0AF0" w:rsidRDefault="00884D4E" w:rsidP="00C774F3">
      <w:pPr>
        <w:pStyle w:val="Prrafodelista"/>
        <w:numPr>
          <w:ilvl w:val="0"/>
          <w:numId w:val="7"/>
        </w:numPr>
        <w:jc w:val="both"/>
        <w:rPr>
          <w:lang w:val="es-ES_tradnl"/>
        </w:rPr>
      </w:pPr>
      <w:r w:rsidRPr="00CD0AF0">
        <w:rPr>
          <w:lang w:val="es-ES_tradnl"/>
        </w:rPr>
        <w:t>Ambiente</w:t>
      </w:r>
      <w:r>
        <w:rPr>
          <w:lang w:val="es-ES_tradnl"/>
        </w:rPr>
        <w:t>,</w:t>
      </w:r>
      <w:r w:rsidRPr="00CD0AF0">
        <w:rPr>
          <w:lang w:val="es-ES_tradnl"/>
        </w:rPr>
        <w:t xml:space="preserve"> </w:t>
      </w:r>
      <w:r>
        <w:rPr>
          <w:lang w:val="es-ES_tradnl"/>
        </w:rPr>
        <w:t>R</w:t>
      </w:r>
      <w:r w:rsidRPr="00CD0AF0">
        <w:rPr>
          <w:lang w:val="es-ES_tradnl"/>
        </w:rPr>
        <w:t xml:space="preserve">ecursos </w:t>
      </w:r>
      <w:r>
        <w:rPr>
          <w:lang w:val="es-ES_tradnl"/>
        </w:rPr>
        <w:t>N</w:t>
      </w:r>
      <w:r w:rsidRPr="00CD0AF0">
        <w:rPr>
          <w:lang w:val="es-ES_tradnl"/>
        </w:rPr>
        <w:t>aturales</w:t>
      </w:r>
      <w:r>
        <w:rPr>
          <w:lang w:val="es-ES_tradnl"/>
        </w:rPr>
        <w:t xml:space="preserve"> y Gestión de Riesgo</w:t>
      </w:r>
    </w:p>
    <w:p w:rsidR="00884D4E" w:rsidRPr="00CD0AF0" w:rsidRDefault="00884D4E" w:rsidP="00C774F3">
      <w:pPr>
        <w:pStyle w:val="Prrafodelista"/>
        <w:numPr>
          <w:ilvl w:val="0"/>
          <w:numId w:val="7"/>
        </w:numPr>
        <w:jc w:val="both"/>
        <w:rPr>
          <w:lang w:val="es-ES_tradnl"/>
        </w:rPr>
      </w:pPr>
      <w:r w:rsidRPr="00CD0AF0">
        <w:rPr>
          <w:lang w:val="es-ES_tradnl"/>
        </w:rPr>
        <w:t>Educación</w:t>
      </w:r>
    </w:p>
    <w:p w:rsidR="00884D4E" w:rsidRPr="00CD0AF0" w:rsidRDefault="00884D4E" w:rsidP="00C774F3">
      <w:pPr>
        <w:pStyle w:val="Prrafodelista"/>
        <w:numPr>
          <w:ilvl w:val="0"/>
          <w:numId w:val="7"/>
        </w:numPr>
        <w:jc w:val="both"/>
        <w:rPr>
          <w:lang w:val="es-ES_tradnl"/>
        </w:rPr>
      </w:pPr>
      <w:r w:rsidRPr="00CD0AF0">
        <w:rPr>
          <w:lang w:val="es-ES_tradnl"/>
        </w:rPr>
        <w:t xml:space="preserve">Fortalecimiento </w:t>
      </w:r>
      <w:r>
        <w:rPr>
          <w:lang w:val="es-ES_tradnl"/>
        </w:rPr>
        <w:t>I</w:t>
      </w:r>
      <w:r w:rsidRPr="00CD0AF0">
        <w:rPr>
          <w:lang w:val="es-ES_tradnl"/>
        </w:rPr>
        <w:t xml:space="preserve">nstitucional en </w:t>
      </w:r>
      <w:r>
        <w:rPr>
          <w:lang w:val="es-ES_tradnl"/>
        </w:rPr>
        <w:t>S</w:t>
      </w:r>
      <w:r w:rsidRPr="00CD0AF0">
        <w:rPr>
          <w:lang w:val="es-ES_tradnl"/>
        </w:rPr>
        <w:t>eguridad</w:t>
      </w:r>
    </w:p>
    <w:p w:rsidR="00884D4E" w:rsidRPr="00CD0AF0" w:rsidRDefault="00884D4E" w:rsidP="00C774F3">
      <w:pPr>
        <w:pStyle w:val="Prrafodelista"/>
        <w:numPr>
          <w:ilvl w:val="0"/>
          <w:numId w:val="7"/>
        </w:numPr>
        <w:jc w:val="both"/>
        <w:rPr>
          <w:lang w:val="es-ES_tradnl"/>
        </w:rPr>
      </w:pPr>
      <w:r w:rsidRPr="00CD0AF0">
        <w:rPr>
          <w:lang w:val="es-ES_tradnl"/>
        </w:rPr>
        <w:t xml:space="preserve">Gobierno </w:t>
      </w:r>
      <w:r>
        <w:rPr>
          <w:lang w:val="es-ES_tradnl"/>
        </w:rPr>
        <w:t>E</w:t>
      </w:r>
      <w:r w:rsidRPr="00CD0AF0">
        <w:rPr>
          <w:lang w:val="es-ES_tradnl"/>
        </w:rPr>
        <w:t xml:space="preserve">lectrónico y </w:t>
      </w:r>
      <w:r>
        <w:rPr>
          <w:lang w:val="es-ES_tradnl"/>
        </w:rPr>
        <w:t>S</w:t>
      </w:r>
      <w:r w:rsidRPr="00CD0AF0">
        <w:rPr>
          <w:lang w:val="es-ES_tradnl"/>
        </w:rPr>
        <w:t xml:space="preserve">ervicios </w:t>
      </w:r>
      <w:r>
        <w:rPr>
          <w:lang w:val="es-ES_tradnl"/>
        </w:rPr>
        <w:t>P</w:t>
      </w:r>
      <w:r w:rsidRPr="00CD0AF0">
        <w:rPr>
          <w:lang w:val="es-ES_tradnl"/>
        </w:rPr>
        <w:t xml:space="preserve">úblicos en </w:t>
      </w:r>
      <w:r>
        <w:rPr>
          <w:lang w:val="es-ES_tradnl"/>
        </w:rPr>
        <w:t>L</w:t>
      </w:r>
      <w:r w:rsidRPr="00CD0AF0">
        <w:rPr>
          <w:lang w:val="es-ES_tradnl"/>
        </w:rPr>
        <w:t>ínea</w:t>
      </w:r>
    </w:p>
    <w:p w:rsidR="00884D4E" w:rsidRPr="00CD0AF0" w:rsidRDefault="00884D4E" w:rsidP="00C774F3">
      <w:pPr>
        <w:pStyle w:val="Prrafodelista"/>
        <w:numPr>
          <w:ilvl w:val="0"/>
          <w:numId w:val="7"/>
        </w:numPr>
        <w:jc w:val="both"/>
        <w:rPr>
          <w:lang w:val="es-ES_tradnl"/>
        </w:rPr>
      </w:pPr>
      <w:r w:rsidRPr="00CD0AF0">
        <w:rPr>
          <w:lang w:val="es-ES_tradnl"/>
        </w:rPr>
        <w:t xml:space="preserve">Gobiernos </w:t>
      </w:r>
      <w:r>
        <w:rPr>
          <w:lang w:val="es-ES_tradnl"/>
        </w:rPr>
        <w:t>L</w:t>
      </w:r>
      <w:r w:rsidRPr="00CD0AF0">
        <w:rPr>
          <w:lang w:val="es-ES_tradnl"/>
        </w:rPr>
        <w:t>ocales</w:t>
      </w:r>
    </w:p>
    <w:p w:rsidR="00884D4E" w:rsidRPr="00CD0AF0" w:rsidRDefault="00884D4E" w:rsidP="00C774F3">
      <w:pPr>
        <w:pStyle w:val="Prrafodelista"/>
        <w:numPr>
          <w:ilvl w:val="0"/>
          <w:numId w:val="7"/>
        </w:numPr>
        <w:jc w:val="both"/>
        <w:rPr>
          <w:lang w:val="es-ES_tradnl"/>
        </w:rPr>
      </w:pPr>
      <w:r w:rsidRPr="00CD0AF0">
        <w:rPr>
          <w:lang w:val="es-ES_tradnl"/>
        </w:rPr>
        <w:t xml:space="preserve">Innovación en la </w:t>
      </w:r>
      <w:r>
        <w:rPr>
          <w:lang w:val="es-ES_tradnl"/>
        </w:rPr>
        <w:t>G</w:t>
      </w:r>
      <w:r w:rsidRPr="00CD0AF0">
        <w:rPr>
          <w:lang w:val="es-ES_tradnl"/>
        </w:rPr>
        <w:t xml:space="preserve">estión </w:t>
      </w:r>
      <w:r>
        <w:rPr>
          <w:lang w:val="es-ES_tradnl"/>
        </w:rPr>
        <w:t>P</w:t>
      </w:r>
      <w:r w:rsidRPr="00CD0AF0">
        <w:rPr>
          <w:lang w:val="es-ES_tradnl"/>
        </w:rPr>
        <w:t>ública</w:t>
      </w:r>
    </w:p>
    <w:p w:rsidR="00884D4E" w:rsidRPr="00CD0AF0" w:rsidRDefault="00884D4E" w:rsidP="00C774F3">
      <w:pPr>
        <w:pStyle w:val="Prrafodelista"/>
        <w:numPr>
          <w:ilvl w:val="0"/>
          <w:numId w:val="7"/>
        </w:numPr>
        <w:jc w:val="both"/>
        <w:rPr>
          <w:lang w:val="es-ES_tradnl"/>
        </w:rPr>
      </w:pPr>
      <w:r w:rsidRPr="00CD0AF0">
        <w:rPr>
          <w:lang w:val="es-ES_tradnl"/>
        </w:rPr>
        <w:t xml:space="preserve">Inversión y </w:t>
      </w:r>
      <w:r>
        <w:rPr>
          <w:lang w:val="es-ES_tradnl"/>
        </w:rPr>
        <w:t>E</w:t>
      </w:r>
      <w:r w:rsidRPr="00CD0AF0">
        <w:rPr>
          <w:lang w:val="es-ES_tradnl"/>
        </w:rPr>
        <w:t>mpleo</w:t>
      </w:r>
    </w:p>
    <w:p w:rsidR="00884D4E" w:rsidRPr="00CD0AF0" w:rsidRDefault="00884D4E" w:rsidP="00C774F3">
      <w:pPr>
        <w:pStyle w:val="Prrafodelista"/>
        <w:numPr>
          <w:ilvl w:val="0"/>
          <w:numId w:val="7"/>
        </w:numPr>
        <w:jc w:val="both"/>
        <w:rPr>
          <w:lang w:val="es-ES_tradnl"/>
        </w:rPr>
      </w:pPr>
      <w:r w:rsidRPr="00CD0AF0">
        <w:rPr>
          <w:lang w:val="es-ES_tradnl"/>
        </w:rPr>
        <w:t xml:space="preserve">Mecanismos de </w:t>
      </w:r>
      <w:r>
        <w:rPr>
          <w:lang w:val="es-ES_tradnl"/>
        </w:rPr>
        <w:t>T</w:t>
      </w:r>
      <w:r w:rsidRPr="00CD0AF0">
        <w:rPr>
          <w:lang w:val="es-ES_tradnl"/>
        </w:rPr>
        <w:t xml:space="preserve">ransparencia y </w:t>
      </w:r>
      <w:r>
        <w:rPr>
          <w:lang w:val="es-ES_tradnl"/>
        </w:rPr>
        <w:t>A</w:t>
      </w:r>
      <w:r w:rsidRPr="00CD0AF0">
        <w:rPr>
          <w:lang w:val="es-ES_tradnl"/>
        </w:rPr>
        <w:t>nticorrupción</w:t>
      </w:r>
    </w:p>
    <w:p w:rsidR="00884D4E" w:rsidRPr="00CD0AF0" w:rsidRDefault="00884D4E" w:rsidP="00C774F3">
      <w:pPr>
        <w:pStyle w:val="Prrafodelista"/>
        <w:numPr>
          <w:ilvl w:val="0"/>
          <w:numId w:val="7"/>
        </w:numPr>
        <w:jc w:val="both"/>
        <w:rPr>
          <w:lang w:val="es-ES_tradnl"/>
        </w:rPr>
      </w:pPr>
      <w:r w:rsidRPr="00CD0AF0">
        <w:rPr>
          <w:lang w:val="es-ES_tradnl"/>
        </w:rPr>
        <w:t xml:space="preserve">Protección e </w:t>
      </w:r>
      <w:r>
        <w:rPr>
          <w:lang w:val="es-ES_tradnl"/>
        </w:rPr>
        <w:t>I</w:t>
      </w:r>
      <w:r w:rsidRPr="00CD0AF0">
        <w:rPr>
          <w:lang w:val="es-ES_tradnl"/>
        </w:rPr>
        <w:t xml:space="preserve">nclusión </w:t>
      </w:r>
      <w:r>
        <w:rPr>
          <w:lang w:val="es-ES_tradnl"/>
        </w:rPr>
        <w:t>S</w:t>
      </w:r>
      <w:r w:rsidRPr="00CD0AF0">
        <w:rPr>
          <w:lang w:val="es-ES_tradnl"/>
        </w:rPr>
        <w:t>ocial</w:t>
      </w:r>
    </w:p>
    <w:p w:rsidR="00884D4E" w:rsidRPr="00CD0AF0" w:rsidRDefault="00884D4E" w:rsidP="00C774F3">
      <w:pPr>
        <w:pStyle w:val="Prrafodelista"/>
        <w:numPr>
          <w:ilvl w:val="0"/>
          <w:numId w:val="7"/>
        </w:numPr>
        <w:jc w:val="both"/>
        <w:rPr>
          <w:lang w:val="es-ES_tradnl"/>
        </w:rPr>
      </w:pPr>
      <w:r w:rsidRPr="00CD0AF0">
        <w:rPr>
          <w:lang w:val="es-ES_tradnl"/>
        </w:rPr>
        <w:t xml:space="preserve">Salud, </w:t>
      </w:r>
      <w:r>
        <w:rPr>
          <w:lang w:val="es-ES_tradnl"/>
        </w:rPr>
        <w:t>S</w:t>
      </w:r>
      <w:r w:rsidRPr="00CD0AF0">
        <w:rPr>
          <w:lang w:val="es-ES_tradnl"/>
        </w:rPr>
        <w:t xml:space="preserve">eguridad </w:t>
      </w:r>
      <w:r>
        <w:rPr>
          <w:lang w:val="es-ES_tradnl"/>
        </w:rPr>
        <w:t>A</w:t>
      </w:r>
      <w:r w:rsidRPr="00CD0AF0">
        <w:rPr>
          <w:lang w:val="es-ES_tradnl"/>
        </w:rPr>
        <w:t xml:space="preserve">limentaria y </w:t>
      </w:r>
      <w:r>
        <w:rPr>
          <w:lang w:val="es-ES_tradnl"/>
        </w:rPr>
        <w:t>N</w:t>
      </w:r>
      <w:r w:rsidRPr="00CD0AF0">
        <w:rPr>
          <w:lang w:val="es-ES_tradnl"/>
        </w:rPr>
        <w:t>utricional</w:t>
      </w:r>
    </w:p>
    <w:p w:rsidR="00884D4E" w:rsidRDefault="00884D4E" w:rsidP="00C774F3">
      <w:pPr>
        <w:pStyle w:val="Prrafodelista"/>
        <w:numPr>
          <w:ilvl w:val="0"/>
          <w:numId w:val="7"/>
        </w:numPr>
        <w:jc w:val="both"/>
        <w:rPr>
          <w:lang w:val="es-ES_tradnl"/>
        </w:rPr>
      </w:pPr>
      <w:r w:rsidRPr="00CD0AF0">
        <w:rPr>
          <w:lang w:val="es-ES_tradnl"/>
        </w:rPr>
        <w:t xml:space="preserve">Transparencia en los </w:t>
      </w:r>
      <w:r>
        <w:rPr>
          <w:lang w:val="es-ES_tradnl"/>
        </w:rPr>
        <w:t>P</w:t>
      </w:r>
      <w:r w:rsidRPr="00CD0AF0">
        <w:rPr>
          <w:lang w:val="es-ES_tradnl"/>
        </w:rPr>
        <w:t xml:space="preserve">rocesos </w:t>
      </w:r>
      <w:r>
        <w:rPr>
          <w:lang w:val="es-ES_tradnl"/>
        </w:rPr>
        <w:t>E</w:t>
      </w:r>
      <w:r w:rsidRPr="00CD0AF0">
        <w:rPr>
          <w:lang w:val="es-ES_tradnl"/>
        </w:rPr>
        <w:t>lectorales</w:t>
      </w:r>
    </w:p>
    <w:p w:rsidR="00884D4E" w:rsidRPr="00CD0AF0" w:rsidRDefault="00884D4E" w:rsidP="00C774F3">
      <w:pPr>
        <w:pStyle w:val="Prrafodelista"/>
        <w:numPr>
          <w:ilvl w:val="0"/>
          <w:numId w:val="7"/>
        </w:numPr>
        <w:jc w:val="both"/>
        <w:rPr>
          <w:lang w:val="es-ES_tradnl"/>
        </w:rPr>
      </w:pPr>
      <w:r w:rsidRPr="00CD0AF0">
        <w:rPr>
          <w:lang w:val="es-ES_tradnl"/>
        </w:rPr>
        <w:t xml:space="preserve">Transparencia </w:t>
      </w:r>
      <w:r>
        <w:rPr>
          <w:lang w:val="es-ES_tradnl"/>
        </w:rPr>
        <w:t>F</w:t>
      </w:r>
      <w:r w:rsidRPr="00CD0AF0">
        <w:rPr>
          <w:lang w:val="es-ES_tradnl"/>
        </w:rPr>
        <w:t xml:space="preserve">iscal, </w:t>
      </w:r>
      <w:r>
        <w:rPr>
          <w:lang w:val="es-ES_tradnl"/>
        </w:rPr>
        <w:t>C</w:t>
      </w:r>
      <w:r w:rsidRPr="00CD0AF0">
        <w:rPr>
          <w:lang w:val="es-ES_tradnl"/>
        </w:rPr>
        <w:t xml:space="preserve">ompras y </w:t>
      </w:r>
      <w:r>
        <w:rPr>
          <w:lang w:val="es-ES_tradnl"/>
        </w:rPr>
        <w:t>C</w:t>
      </w:r>
      <w:r w:rsidRPr="00CD0AF0">
        <w:rPr>
          <w:lang w:val="es-ES_tradnl"/>
        </w:rPr>
        <w:t xml:space="preserve">ontrataciones </w:t>
      </w:r>
      <w:r>
        <w:rPr>
          <w:lang w:val="es-ES_tradnl"/>
        </w:rPr>
        <w:t>P</w:t>
      </w:r>
      <w:r w:rsidRPr="00CD0AF0">
        <w:rPr>
          <w:lang w:val="es-ES_tradnl"/>
        </w:rPr>
        <w:t>úblicas</w:t>
      </w:r>
    </w:p>
    <w:p w:rsidR="00884D4E" w:rsidRPr="00260C73" w:rsidRDefault="00884D4E" w:rsidP="00C620A4">
      <w:pPr>
        <w:jc w:val="both"/>
        <w:rPr>
          <w:rFonts w:eastAsia="Calibri"/>
          <w:sz w:val="28"/>
          <w:lang w:val="es-ES_tradnl" w:eastAsia="en-US" w:bidi="en-US"/>
        </w:rPr>
      </w:pPr>
    </w:p>
    <w:p w:rsidR="00CA330C" w:rsidRDefault="006F5527" w:rsidP="00C620A4">
      <w:pPr>
        <w:jc w:val="both"/>
        <w:rPr>
          <w:rFonts w:eastAsia="Calibri"/>
          <w:lang w:val="es-GT" w:eastAsia="en-US" w:bidi="en-US"/>
        </w:rPr>
      </w:pPr>
      <w:r>
        <w:rPr>
          <w:rFonts w:eastAsia="Calibri"/>
          <w:lang w:val="es-GT" w:eastAsia="en-US" w:bidi="en-US"/>
        </w:rPr>
        <w:t>El</w:t>
      </w:r>
      <w:r w:rsidR="00E447DB">
        <w:rPr>
          <w:rFonts w:eastAsia="Calibri"/>
          <w:lang w:val="es-GT" w:eastAsia="en-US" w:bidi="en-US"/>
        </w:rPr>
        <w:t xml:space="preserve"> Ministerio de Finanzas Públicas </w:t>
      </w:r>
      <w:r>
        <w:rPr>
          <w:rFonts w:eastAsia="Calibri"/>
          <w:lang w:val="es-GT" w:eastAsia="en-US" w:bidi="en-US"/>
        </w:rPr>
        <w:t>es la entidad responsable directa del eje de Transparencia Fiscal, Compras y Contrataciones Públicas</w:t>
      </w:r>
      <w:r w:rsidR="006369BD">
        <w:rPr>
          <w:rFonts w:eastAsia="Calibri"/>
          <w:lang w:val="es-GT" w:eastAsia="en-US" w:bidi="en-US"/>
        </w:rPr>
        <w:t>,</w:t>
      </w:r>
      <w:r>
        <w:rPr>
          <w:rFonts w:eastAsia="Calibri"/>
          <w:lang w:val="es-GT" w:eastAsia="en-US" w:bidi="en-US"/>
        </w:rPr>
        <w:t xml:space="preserve"> </w:t>
      </w:r>
      <w:r w:rsidR="00CA330C">
        <w:rPr>
          <w:rFonts w:eastAsia="Calibri"/>
          <w:lang w:val="es-GT" w:eastAsia="en-US" w:bidi="en-US"/>
        </w:rPr>
        <w:t>integrado por tres compromisos</w:t>
      </w:r>
      <w:r w:rsidR="00CA6464">
        <w:rPr>
          <w:rFonts w:eastAsia="Calibri"/>
          <w:lang w:val="es-GT" w:eastAsia="en-US" w:bidi="en-US"/>
        </w:rPr>
        <w:t xml:space="preserve"> y once metas</w:t>
      </w:r>
      <w:r w:rsidR="00CA330C">
        <w:rPr>
          <w:rFonts w:eastAsia="Calibri"/>
          <w:lang w:val="es-GT" w:eastAsia="en-US" w:bidi="en-US"/>
        </w:rPr>
        <w:t>:</w:t>
      </w:r>
    </w:p>
    <w:p w:rsidR="00CA330C" w:rsidRDefault="00CA330C" w:rsidP="00C620A4">
      <w:pPr>
        <w:jc w:val="both"/>
        <w:rPr>
          <w:rFonts w:eastAsia="Calibri"/>
          <w:lang w:val="es-GT" w:eastAsia="en-US" w:bidi="en-US"/>
        </w:rPr>
      </w:pPr>
    </w:p>
    <w:p w:rsidR="009B3ED8" w:rsidRDefault="009B3ED8" w:rsidP="00C774F3">
      <w:pPr>
        <w:pStyle w:val="Prrafodelista"/>
        <w:numPr>
          <w:ilvl w:val="0"/>
          <w:numId w:val="9"/>
        </w:numPr>
        <w:ind w:left="567" w:hanging="567"/>
        <w:contextualSpacing/>
        <w:jc w:val="both"/>
        <w:rPr>
          <w:rFonts w:eastAsia="Calibri"/>
          <w:b/>
          <w:lang w:val="es-MX"/>
        </w:rPr>
      </w:pPr>
      <w:r w:rsidRPr="0069616A">
        <w:rPr>
          <w:rFonts w:eastAsia="Calibri"/>
          <w:b/>
          <w:lang w:val="es-MX"/>
        </w:rPr>
        <w:t xml:space="preserve">Acciones para </w:t>
      </w:r>
      <w:r>
        <w:rPr>
          <w:rFonts w:eastAsia="Calibri"/>
          <w:b/>
          <w:lang w:val="es-MX"/>
        </w:rPr>
        <w:t xml:space="preserve">seguir </w:t>
      </w:r>
      <w:r w:rsidRPr="0069616A">
        <w:rPr>
          <w:rFonts w:eastAsia="Calibri"/>
          <w:b/>
          <w:lang w:val="es-MX"/>
        </w:rPr>
        <w:t>avanza</w:t>
      </w:r>
      <w:r>
        <w:rPr>
          <w:rFonts w:eastAsia="Calibri"/>
          <w:b/>
          <w:lang w:val="es-MX"/>
        </w:rPr>
        <w:t>ndo en la adopción de estándares internacionales de transparencia fiscal, c</w:t>
      </w:r>
      <w:r w:rsidR="00CA6464">
        <w:rPr>
          <w:rFonts w:eastAsia="Calibri"/>
          <w:b/>
          <w:lang w:val="es-MX"/>
        </w:rPr>
        <w:t>ompras y contrataciones</w:t>
      </w:r>
    </w:p>
    <w:p w:rsidR="00260C73" w:rsidRPr="0069616A" w:rsidRDefault="00260C73" w:rsidP="00260C73">
      <w:pPr>
        <w:pStyle w:val="Prrafodelista"/>
        <w:ind w:left="567"/>
        <w:contextualSpacing/>
        <w:jc w:val="both"/>
        <w:rPr>
          <w:rFonts w:eastAsia="Calibri"/>
          <w:b/>
          <w:lang w:val="es-MX"/>
        </w:rPr>
      </w:pPr>
    </w:p>
    <w:p w:rsidR="009B3ED8" w:rsidRPr="00CD0AF0" w:rsidRDefault="009B3ED8" w:rsidP="00C774F3">
      <w:pPr>
        <w:numPr>
          <w:ilvl w:val="1"/>
          <w:numId w:val="8"/>
        </w:numPr>
        <w:ind w:left="1134"/>
        <w:contextualSpacing/>
        <w:jc w:val="both"/>
        <w:rPr>
          <w:rFonts w:eastAsia="Calibri"/>
          <w:lang w:val="es-MX"/>
        </w:rPr>
      </w:pPr>
      <w:r>
        <w:rPr>
          <w:rFonts w:eastAsia="Calibri"/>
          <w:lang w:val="es-MX"/>
        </w:rPr>
        <w:t xml:space="preserve">Talleres de sensibilización y capacitación sobre el uso del módulo de </w:t>
      </w:r>
      <w:r w:rsidR="00CA6464">
        <w:rPr>
          <w:rFonts w:eastAsia="Calibri"/>
          <w:lang w:val="es-MX"/>
        </w:rPr>
        <w:t xml:space="preserve">la </w:t>
      </w:r>
      <w:r>
        <w:rPr>
          <w:rFonts w:eastAsia="Calibri"/>
          <w:lang w:val="es-MX"/>
        </w:rPr>
        <w:t>Subasta Electrónica Inversa (SEI).</w:t>
      </w:r>
    </w:p>
    <w:p w:rsidR="009B3ED8" w:rsidRPr="00CD0AF0" w:rsidRDefault="009B3ED8" w:rsidP="00C774F3">
      <w:pPr>
        <w:numPr>
          <w:ilvl w:val="1"/>
          <w:numId w:val="8"/>
        </w:numPr>
        <w:ind w:left="1134"/>
        <w:contextualSpacing/>
        <w:jc w:val="both"/>
        <w:rPr>
          <w:rFonts w:eastAsia="Calibri"/>
          <w:lang w:val="es-MX"/>
        </w:rPr>
      </w:pPr>
      <w:r>
        <w:rPr>
          <w:rFonts w:eastAsia="Calibri"/>
          <w:lang w:val="es-MX"/>
        </w:rPr>
        <w:lastRenderedPageBreak/>
        <w:t>Propuesta de iniciativa de ley y reglamento para un registro de beneficiario final, según estándares del Foro Global de la OCDE y GAFILAT.</w:t>
      </w:r>
    </w:p>
    <w:p w:rsidR="009B3ED8" w:rsidRPr="00CD0AF0" w:rsidRDefault="009B3ED8" w:rsidP="00C774F3">
      <w:pPr>
        <w:numPr>
          <w:ilvl w:val="1"/>
          <w:numId w:val="8"/>
        </w:numPr>
        <w:ind w:left="1134"/>
        <w:contextualSpacing/>
        <w:jc w:val="both"/>
        <w:rPr>
          <w:rFonts w:eastAsia="Calibri"/>
          <w:lang w:val="es-MX"/>
        </w:rPr>
      </w:pPr>
      <w:r>
        <w:rPr>
          <w:rFonts w:eastAsia="Calibri"/>
          <w:lang w:val="es-MX"/>
        </w:rPr>
        <w:t>Estándar de datos abiertos para las contrataciones abiertas.</w:t>
      </w:r>
    </w:p>
    <w:p w:rsidR="009B3ED8" w:rsidRPr="00CD0AF0" w:rsidRDefault="009B3ED8" w:rsidP="00C774F3">
      <w:pPr>
        <w:numPr>
          <w:ilvl w:val="1"/>
          <w:numId w:val="8"/>
        </w:numPr>
        <w:ind w:left="1134"/>
        <w:contextualSpacing/>
        <w:jc w:val="both"/>
        <w:rPr>
          <w:rFonts w:eastAsia="Calibri"/>
          <w:lang w:val="es-MX"/>
        </w:rPr>
      </w:pPr>
      <w:r>
        <w:rPr>
          <w:rFonts w:eastAsia="Calibri"/>
          <w:lang w:val="es-MX"/>
        </w:rPr>
        <w:t>Publicación de las principales iniciativas y estándares internacionales de transparencia fiscal.</w:t>
      </w:r>
    </w:p>
    <w:p w:rsidR="009B3ED8" w:rsidRPr="00CD0AF0" w:rsidRDefault="009B3ED8" w:rsidP="00C774F3">
      <w:pPr>
        <w:numPr>
          <w:ilvl w:val="1"/>
          <w:numId w:val="8"/>
        </w:numPr>
        <w:ind w:left="1134"/>
        <w:contextualSpacing/>
        <w:jc w:val="both"/>
        <w:rPr>
          <w:rFonts w:eastAsia="Calibri"/>
          <w:lang w:val="es-MX"/>
        </w:rPr>
      </w:pPr>
      <w:r>
        <w:rPr>
          <w:rFonts w:eastAsia="Calibri"/>
          <w:lang w:val="es-MX"/>
        </w:rPr>
        <w:t xml:space="preserve">Plan de </w:t>
      </w:r>
      <w:r w:rsidR="00CA6464">
        <w:rPr>
          <w:rFonts w:eastAsia="Calibri"/>
          <w:lang w:val="es-MX"/>
        </w:rPr>
        <w:t>a</w:t>
      </w:r>
      <w:r>
        <w:rPr>
          <w:rFonts w:eastAsia="Calibri"/>
          <w:lang w:val="es-MX"/>
        </w:rPr>
        <w:t>cción para implementar las recomendaciones de cada iniciativa y estándar internacional de transparencia fiscal.</w:t>
      </w:r>
    </w:p>
    <w:p w:rsidR="009B3ED8" w:rsidRPr="00260C73" w:rsidRDefault="009B3ED8" w:rsidP="009B3ED8">
      <w:pPr>
        <w:ind w:left="1440"/>
        <w:contextualSpacing/>
        <w:jc w:val="both"/>
        <w:rPr>
          <w:rFonts w:eastAsia="Calibri"/>
          <w:sz w:val="40"/>
          <w:lang w:val="es-MX"/>
        </w:rPr>
      </w:pPr>
    </w:p>
    <w:p w:rsidR="009B3ED8" w:rsidRDefault="009B3ED8" w:rsidP="00C774F3">
      <w:pPr>
        <w:pStyle w:val="Prrafodelista"/>
        <w:numPr>
          <w:ilvl w:val="0"/>
          <w:numId w:val="9"/>
        </w:numPr>
        <w:ind w:left="567" w:hanging="567"/>
        <w:contextualSpacing/>
        <w:jc w:val="both"/>
        <w:rPr>
          <w:rFonts w:eastAsia="Calibri"/>
          <w:b/>
          <w:lang w:val="es-MX"/>
        </w:rPr>
      </w:pPr>
      <w:r w:rsidRPr="0069616A">
        <w:rPr>
          <w:rFonts w:eastAsia="Calibri"/>
          <w:b/>
          <w:lang w:val="es-MX"/>
        </w:rPr>
        <w:t xml:space="preserve">Acciones para avanzar en </w:t>
      </w:r>
      <w:r>
        <w:rPr>
          <w:rFonts w:eastAsia="Calibri"/>
          <w:b/>
          <w:lang w:val="es-MX"/>
        </w:rPr>
        <w:t>la presentación y disponibilidad de información presupuestaria</w:t>
      </w:r>
    </w:p>
    <w:p w:rsidR="00260C73" w:rsidRPr="0069616A" w:rsidRDefault="00260C73" w:rsidP="00260C73">
      <w:pPr>
        <w:pStyle w:val="Prrafodelista"/>
        <w:ind w:left="567"/>
        <w:contextualSpacing/>
        <w:jc w:val="both"/>
        <w:rPr>
          <w:rFonts w:eastAsia="Calibri"/>
          <w:b/>
          <w:lang w:val="es-MX"/>
        </w:rPr>
      </w:pPr>
    </w:p>
    <w:p w:rsidR="009B3ED8" w:rsidRPr="00CD0AF0" w:rsidRDefault="009B3ED8" w:rsidP="00C774F3">
      <w:pPr>
        <w:numPr>
          <w:ilvl w:val="0"/>
          <w:numId w:val="10"/>
        </w:numPr>
        <w:ind w:left="1134"/>
        <w:contextualSpacing/>
        <w:jc w:val="both"/>
        <w:rPr>
          <w:rFonts w:eastAsia="Calibri"/>
          <w:lang w:val="es-MX"/>
        </w:rPr>
      </w:pPr>
      <w:r>
        <w:rPr>
          <w:rFonts w:eastAsia="Calibri"/>
          <w:lang w:val="es-MX"/>
        </w:rPr>
        <w:t xml:space="preserve">Elaborar una hoja de ruta para presentar información presupuestaria a través de un Observatorio del </w:t>
      </w:r>
      <w:r w:rsidR="00260C73">
        <w:rPr>
          <w:rFonts w:eastAsia="Calibri"/>
          <w:lang w:val="es-MX"/>
        </w:rPr>
        <w:t>Presupuesto</w:t>
      </w:r>
      <w:r>
        <w:rPr>
          <w:rFonts w:eastAsia="Calibri"/>
          <w:lang w:val="es-MX"/>
        </w:rPr>
        <w:t xml:space="preserve"> Público.</w:t>
      </w:r>
    </w:p>
    <w:p w:rsidR="009B3ED8" w:rsidRDefault="009B3ED8" w:rsidP="00C774F3">
      <w:pPr>
        <w:numPr>
          <w:ilvl w:val="0"/>
          <w:numId w:val="10"/>
        </w:numPr>
        <w:ind w:left="1134"/>
        <w:contextualSpacing/>
        <w:jc w:val="both"/>
        <w:rPr>
          <w:rFonts w:eastAsia="Calibri"/>
          <w:lang w:val="es-MX"/>
        </w:rPr>
      </w:pPr>
      <w:r>
        <w:rPr>
          <w:rFonts w:eastAsia="Calibri"/>
          <w:lang w:val="es-MX"/>
        </w:rPr>
        <w:t>Elaboración y publicación de informes para el monitoreo y seguimiento de la ejecución de préstamos externos.</w:t>
      </w:r>
    </w:p>
    <w:p w:rsidR="009B3ED8" w:rsidRPr="00260C73" w:rsidRDefault="009B3ED8" w:rsidP="009B3ED8">
      <w:pPr>
        <w:ind w:left="1440"/>
        <w:contextualSpacing/>
        <w:jc w:val="both"/>
        <w:rPr>
          <w:rFonts w:eastAsia="Calibri"/>
          <w:sz w:val="40"/>
          <w:lang w:val="es-MX"/>
        </w:rPr>
      </w:pPr>
    </w:p>
    <w:p w:rsidR="009B3ED8" w:rsidRDefault="009B3ED8" w:rsidP="00C774F3">
      <w:pPr>
        <w:pStyle w:val="Prrafodelista"/>
        <w:numPr>
          <w:ilvl w:val="0"/>
          <w:numId w:val="9"/>
        </w:numPr>
        <w:ind w:left="567" w:hanging="567"/>
        <w:contextualSpacing/>
        <w:jc w:val="both"/>
        <w:rPr>
          <w:rFonts w:eastAsia="Calibri"/>
          <w:b/>
          <w:lang w:val="es-MX"/>
        </w:rPr>
      </w:pPr>
      <w:r w:rsidRPr="0069616A">
        <w:rPr>
          <w:rFonts w:eastAsia="Calibri"/>
          <w:b/>
          <w:lang w:val="es-MX"/>
        </w:rPr>
        <w:t xml:space="preserve">Acciones para </w:t>
      </w:r>
      <w:r>
        <w:rPr>
          <w:rFonts w:eastAsia="Calibri"/>
          <w:b/>
          <w:lang w:val="es-MX"/>
        </w:rPr>
        <w:t>diseñar y desarrollar una herramienta informática que permita a las instituciones públicas proveer información de los beneficiarios de los bienes y servicios públicos, a través de la apertura de la meta física “persona”, con características de sexo, edad y etnia</w:t>
      </w:r>
    </w:p>
    <w:p w:rsidR="00260C73" w:rsidRPr="0069616A" w:rsidRDefault="00260C73" w:rsidP="00260C73">
      <w:pPr>
        <w:pStyle w:val="Prrafodelista"/>
        <w:ind w:left="567"/>
        <w:contextualSpacing/>
        <w:jc w:val="both"/>
        <w:rPr>
          <w:rFonts w:eastAsia="Calibri"/>
          <w:b/>
          <w:lang w:val="es-MX"/>
        </w:rPr>
      </w:pPr>
    </w:p>
    <w:p w:rsidR="009B3ED8" w:rsidRPr="00CD0AF0" w:rsidRDefault="009B3ED8" w:rsidP="00C774F3">
      <w:pPr>
        <w:numPr>
          <w:ilvl w:val="0"/>
          <w:numId w:val="11"/>
        </w:numPr>
        <w:ind w:left="1134"/>
        <w:contextualSpacing/>
        <w:jc w:val="both"/>
        <w:rPr>
          <w:rFonts w:eastAsia="Calibri"/>
          <w:lang w:val="es-MX"/>
        </w:rPr>
      </w:pPr>
      <w:r>
        <w:rPr>
          <w:rFonts w:eastAsia="Calibri"/>
          <w:lang w:val="es-MX"/>
        </w:rPr>
        <w:t xml:space="preserve">Elaboración de un </w:t>
      </w:r>
      <w:r w:rsidR="00260C73">
        <w:rPr>
          <w:rFonts w:eastAsia="Calibri"/>
          <w:lang w:val="es-MX"/>
        </w:rPr>
        <w:t>p</w:t>
      </w:r>
      <w:r>
        <w:rPr>
          <w:rFonts w:eastAsia="Calibri"/>
          <w:lang w:val="es-MX"/>
        </w:rPr>
        <w:t xml:space="preserve">lan de </w:t>
      </w:r>
      <w:r w:rsidR="00260C73">
        <w:rPr>
          <w:rFonts w:eastAsia="Calibri"/>
          <w:lang w:val="es-MX"/>
        </w:rPr>
        <w:t>t</w:t>
      </w:r>
      <w:r>
        <w:rPr>
          <w:rFonts w:eastAsia="Calibri"/>
          <w:lang w:val="es-MX"/>
        </w:rPr>
        <w:t>rabajo para la provisión de una herramienta informática que brinde dicha información desagregada.</w:t>
      </w:r>
    </w:p>
    <w:p w:rsidR="009B3ED8" w:rsidRPr="00CD0AF0" w:rsidRDefault="009B3ED8" w:rsidP="00C774F3">
      <w:pPr>
        <w:numPr>
          <w:ilvl w:val="0"/>
          <w:numId w:val="11"/>
        </w:numPr>
        <w:ind w:left="1134"/>
        <w:contextualSpacing/>
        <w:jc w:val="both"/>
        <w:rPr>
          <w:rFonts w:eastAsia="Calibri"/>
          <w:lang w:val="es-MX"/>
        </w:rPr>
      </w:pPr>
      <w:r>
        <w:rPr>
          <w:rFonts w:eastAsia="Calibri"/>
          <w:lang w:val="es-MX"/>
        </w:rPr>
        <w:t>Diseño y desarrollo de la herramienta informática.</w:t>
      </w:r>
    </w:p>
    <w:p w:rsidR="009B3ED8" w:rsidRPr="00CD0AF0" w:rsidRDefault="009B3ED8" w:rsidP="00C774F3">
      <w:pPr>
        <w:numPr>
          <w:ilvl w:val="0"/>
          <w:numId w:val="11"/>
        </w:numPr>
        <w:ind w:left="1134"/>
        <w:contextualSpacing/>
        <w:jc w:val="both"/>
        <w:rPr>
          <w:rFonts w:eastAsia="Calibri"/>
          <w:lang w:val="es-MX"/>
        </w:rPr>
      </w:pPr>
      <w:r>
        <w:rPr>
          <w:rFonts w:eastAsia="Calibri"/>
          <w:lang w:val="es-MX"/>
        </w:rPr>
        <w:t>Elaboración e implementación de un programa de capacitación y sensibilización sobre el uso y utilidad de la herramienta informática.</w:t>
      </w:r>
    </w:p>
    <w:p w:rsidR="009B3ED8" w:rsidRPr="00CD0AF0" w:rsidRDefault="009B3ED8" w:rsidP="00C774F3">
      <w:pPr>
        <w:numPr>
          <w:ilvl w:val="0"/>
          <w:numId w:val="11"/>
        </w:numPr>
        <w:ind w:left="1134"/>
        <w:contextualSpacing/>
        <w:jc w:val="both"/>
        <w:rPr>
          <w:rFonts w:eastAsia="Calibri"/>
          <w:lang w:val="es-MX"/>
        </w:rPr>
      </w:pPr>
      <w:r>
        <w:rPr>
          <w:rFonts w:eastAsia="Calibri"/>
          <w:lang w:val="es-MX"/>
        </w:rPr>
        <w:t>Publicación de la información que las instituciones públicas registren en la herramienta informática puesta en funcionamiento.</w:t>
      </w:r>
    </w:p>
    <w:p w:rsidR="00CA330C" w:rsidRPr="00427BC4" w:rsidRDefault="00CA330C" w:rsidP="00C620A4">
      <w:pPr>
        <w:jc w:val="both"/>
        <w:rPr>
          <w:rFonts w:eastAsia="Calibri"/>
          <w:sz w:val="40"/>
          <w:lang w:val="es-GT" w:eastAsia="en-US" w:bidi="en-US"/>
        </w:rPr>
      </w:pPr>
    </w:p>
    <w:p w:rsidR="0009220D" w:rsidRDefault="00CA330C" w:rsidP="00C620A4">
      <w:pPr>
        <w:jc w:val="both"/>
        <w:rPr>
          <w:rFonts w:eastAsia="Calibri"/>
          <w:lang w:val="es-GT" w:eastAsia="en-US" w:bidi="en-US"/>
        </w:rPr>
      </w:pPr>
      <w:r>
        <w:rPr>
          <w:rFonts w:eastAsia="Calibri"/>
          <w:lang w:val="es-GT" w:eastAsia="en-US" w:bidi="en-US"/>
        </w:rPr>
        <w:t xml:space="preserve">Al 31 de diciembre de 2019 las dependencias del Ministerio de Finanzas Públicas que son responsables directas del cumplimiento de dichos compromisos con sus 11 hitos o metas respectivos, reportan aproximadamente </w:t>
      </w:r>
      <w:r w:rsidR="0009220D">
        <w:rPr>
          <w:rFonts w:eastAsia="Calibri"/>
          <w:lang w:val="es-GT" w:eastAsia="en-US" w:bidi="en-US"/>
        </w:rPr>
        <w:t>un</w:t>
      </w:r>
      <w:r>
        <w:rPr>
          <w:rFonts w:eastAsia="Calibri"/>
          <w:lang w:val="es-GT" w:eastAsia="en-US" w:bidi="en-US"/>
        </w:rPr>
        <w:t xml:space="preserve"> 80.1% de avance</w:t>
      </w:r>
      <w:r w:rsidR="0009220D">
        <w:rPr>
          <w:rFonts w:eastAsia="Calibri"/>
          <w:lang w:val="es-GT" w:eastAsia="en-US" w:bidi="en-US"/>
        </w:rPr>
        <w:t>,</w:t>
      </w:r>
      <w:r>
        <w:rPr>
          <w:rFonts w:eastAsia="Calibri"/>
          <w:lang w:val="es-GT" w:eastAsia="en-US" w:bidi="en-US"/>
        </w:rPr>
        <w:t xml:space="preserve"> </w:t>
      </w:r>
      <w:r w:rsidR="0009220D">
        <w:rPr>
          <w:rFonts w:eastAsia="Calibri"/>
          <w:lang w:val="es-GT" w:eastAsia="en-US" w:bidi="en-US"/>
        </w:rPr>
        <w:t xml:space="preserve">situación que corresponde al estatus de </w:t>
      </w:r>
      <w:r w:rsidR="00D24608">
        <w:rPr>
          <w:rFonts w:eastAsia="Calibri"/>
          <w:lang w:val="es-GT" w:eastAsia="en-US" w:bidi="en-US"/>
        </w:rPr>
        <w:t>“sustancial</w:t>
      </w:r>
      <w:r w:rsidR="004F320D">
        <w:rPr>
          <w:rFonts w:eastAsia="Calibri"/>
          <w:lang w:val="es-GT" w:eastAsia="en-US" w:bidi="en-US"/>
        </w:rPr>
        <w:t xml:space="preserve"> o avanzado</w:t>
      </w:r>
      <w:r w:rsidR="00D24608">
        <w:rPr>
          <w:rFonts w:eastAsia="Calibri"/>
          <w:lang w:val="es-GT" w:eastAsia="en-US" w:bidi="en-US"/>
        </w:rPr>
        <w:t>”</w:t>
      </w:r>
      <w:r w:rsidR="009A22CF">
        <w:rPr>
          <w:rFonts w:eastAsia="Calibri"/>
          <w:lang w:val="es-GT" w:eastAsia="en-US" w:bidi="en-US"/>
        </w:rPr>
        <w:t>,</w:t>
      </w:r>
      <w:r w:rsidR="00D24608">
        <w:rPr>
          <w:rFonts w:eastAsia="Calibri"/>
          <w:lang w:val="es-GT" w:eastAsia="en-US" w:bidi="en-US"/>
        </w:rPr>
        <w:t xml:space="preserve"> </w:t>
      </w:r>
      <w:r w:rsidR="0009220D">
        <w:rPr>
          <w:rFonts w:eastAsia="Calibri"/>
          <w:lang w:val="es-GT" w:eastAsia="en-US" w:bidi="en-US"/>
        </w:rPr>
        <w:t>y se estima que al 30 de agosto de 2020, fecha en que concluye la vigencia del Cuarto Plan de Acción Nacional de Gobierno Abierto 2018-2020, el M</w:t>
      </w:r>
      <w:r w:rsidR="004F320D">
        <w:rPr>
          <w:rFonts w:eastAsia="Calibri"/>
          <w:lang w:val="es-GT" w:eastAsia="en-US" w:bidi="en-US"/>
        </w:rPr>
        <w:t>inisterio de Finanzas Públicas</w:t>
      </w:r>
      <w:r w:rsidR="0009220D">
        <w:rPr>
          <w:rFonts w:eastAsia="Calibri"/>
          <w:lang w:val="es-GT" w:eastAsia="en-US" w:bidi="en-US"/>
        </w:rPr>
        <w:t xml:space="preserve"> alcance el 100.0% de cumplimiento en sus compromisos asumidos ante las organizaciones de sociedad civil y ciudadanos en general que participan en la Mesa Técnica de Gobierno </w:t>
      </w:r>
      <w:r w:rsidR="002B634A">
        <w:rPr>
          <w:rFonts w:eastAsia="Calibri"/>
          <w:lang w:val="es-GT" w:eastAsia="en-US" w:bidi="en-US"/>
        </w:rPr>
        <w:t>A</w:t>
      </w:r>
      <w:r w:rsidR="0009220D">
        <w:rPr>
          <w:rFonts w:eastAsia="Calibri"/>
          <w:lang w:val="es-GT" w:eastAsia="en-US" w:bidi="en-US"/>
        </w:rPr>
        <w:t>bierto (MTGA).</w:t>
      </w:r>
    </w:p>
    <w:p w:rsidR="0009220D" w:rsidRPr="00AA2749" w:rsidRDefault="0009220D" w:rsidP="00C620A4">
      <w:pPr>
        <w:jc w:val="both"/>
        <w:rPr>
          <w:rFonts w:eastAsia="Calibri"/>
          <w:sz w:val="28"/>
          <w:lang w:val="es-GT" w:eastAsia="en-US" w:bidi="en-US"/>
        </w:rPr>
      </w:pPr>
    </w:p>
    <w:p w:rsidR="002E0FD6" w:rsidRDefault="002E0FD6" w:rsidP="00C620A4">
      <w:pPr>
        <w:jc w:val="both"/>
        <w:rPr>
          <w:rFonts w:eastAsia="Calibri"/>
          <w:lang w:val="es-GT" w:eastAsia="en-US" w:bidi="en-US"/>
        </w:rPr>
      </w:pPr>
      <w:r>
        <w:rPr>
          <w:rFonts w:eastAsia="Calibri"/>
          <w:lang w:val="es-GT" w:eastAsia="en-US" w:bidi="en-US"/>
        </w:rPr>
        <w:t xml:space="preserve">De forma resumida, en el siguiente cuadro se muestra el estatus de los 4 Planes de Acción Nacional de Gobierno Abierto que ha </w:t>
      </w:r>
      <w:r w:rsidR="00131670">
        <w:rPr>
          <w:rFonts w:eastAsia="Calibri"/>
          <w:lang w:val="es-GT" w:eastAsia="en-US" w:bidi="en-US"/>
        </w:rPr>
        <w:t xml:space="preserve">suscrito </w:t>
      </w:r>
      <w:r>
        <w:rPr>
          <w:rFonts w:eastAsia="Calibri"/>
          <w:lang w:val="es-GT" w:eastAsia="en-US" w:bidi="en-US"/>
        </w:rPr>
        <w:t>la República de Guatemala:</w:t>
      </w:r>
    </w:p>
    <w:p w:rsidR="002E0FD6" w:rsidRDefault="002E0FD6" w:rsidP="00C620A4">
      <w:pPr>
        <w:jc w:val="both"/>
        <w:rPr>
          <w:rFonts w:eastAsia="Calibri"/>
          <w:lang w:val="es-GT" w:eastAsia="en-US" w:bidi="en-US"/>
        </w:rPr>
      </w:pPr>
    </w:p>
    <w:p w:rsidR="00260C73" w:rsidRDefault="00260C73" w:rsidP="00C620A4">
      <w:pPr>
        <w:jc w:val="both"/>
        <w:rPr>
          <w:rFonts w:eastAsia="Calibri"/>
          <w:lang w:val="es-GT" w:eastAsia="en-US" w:bidi="en-US"/>
        </w:rPr>
      </w:pPr>
    </w:p>
    <w:p w:rsidR="00260C73" w:rsidRDefault="00260C73" w:rsidP="00C620A4">
      <w:pPr>
        <w:jc w:val="both"/>
        <w:rPr>
          <w:rFonts w:eastAsia="Calibri"/>
          <w:lang w:val="es-GT" w:eastAsia="en-US" w:bidi="en-US"/>
        </w:rPr>
      </w:pPr>
    </w:p>
    <w:p w:rsidR="00260C73" w:rsidRPr="00AA2749" w:rsidRDefault="00260C73" w:rsidP="00C620A4">
      <w:pPr>
        <w:jc w:val="both"/>
        <w:rPr>
          <w:rFonts w:eastAsia="Calibri"/>
          <w:sz w:val="28"/>
          <w:lang w:val="es-GT" w:eastAsia="en-US" w:bidi="en-US"/>
        </w:rPr>
      </w:pPr>
    </w:p>
    <w:p w:rsidR="0099619F" w:rsidRPr="00124AD6" w:rsidRDefault="0099619F" w:rsidP="0099619F">
      <w:pPr>
        <w:jc w:val="center"/>
        <w:rPr>
          <w:b/>
        </w:rPr>
      </w:pPr>
      <w:r w:rsidRPr="00124AD6">
        <w:rPr>
          <w:b/>
        </w:rPr>
        <w:t xml:space="preserve">Cuadro </w:t>
      </w:r>
      <w:r>
        <w:rPr>
          <w:b/>
        </w:rPr>
        <w:t>1</w:t>
      </w:r>
      <w:r w:rsidR="00260C73">
        <w:rPr>
          <w:b/>
        </w:rPr>
        <w:t>9</w:t>
      </w:r>
    </w:p>
    <w:p w:rsidR="0099619F" w:rsidRDefault="0099619F" w:rsidP="0099619F">
      <w:pPr>
        <w:jc w:val="center"/>
        <w:rPr>
          <w:b/>
        </w:rPr>
      </w:pPr>
      <w:r>
        <w:rPr>
          <w:b/>
        </w:rPr>
        <w:t xml:space="preserve">Situación de los </w:t>
      </w:r>
      <w:r w:rsidR="00260C73">
        <w:rPr>
          <w:b/>
        </w:rPr>
        <w:t xml:space="preserve">Cuatro </w:t>
      </w:r>
      <w:r>
        <w:rPr>
          <w:b/>
        </w:rPr>
        <w:t>Planes de Acción Nacional de Gobierno Abierto</w:t>
      </w:r>
    </w:p>
    <w:p w:rsidR="00260C73" w:rsidRPr="00260C73" w:rsidRDefault="00260C73" w:rsidP="0099619F">
      <w:pPr>
        <w:jc w:val="center"/>
        <w:rPr>
          <w:rFonts w:eastAsia="Calibri"/>
          <w:sz w:val="14"/>
          <w:lang w:eastAsia="en-US" w:bidi="en-US"/>
        </w:rPr>
      </w:pPr>
    </w:p>
    <w:tbl>
      <w:tblPr>
        <w:tblStyle w:val="Tablaconcuadrcula"/>
        <w:tblW w:w="9640" w:type="dxa"/>
        <w:tblInd w:w="-318" w:type="dxa"/>
        <w:tblBorders>
          <w:insideH w:val="none" w:sz="0" w:space="0" w:color="auto"/>
          <w:insideV w:val="none" w:sz="0" w:space="0" w:color="auto"/>
        </w:tblBorders>
        <w:tblLook w:val="04A0" w:firstRow="1" w:lastRow="0" w:firstColumn="1" w:lastColumn="0" w:noHBand="0" w:noVBand="1"/>
      </w:tblPr>
      <w:tblGrid>
        <w:gridCol w:w="2401"/>
        <w:gridCol w:w="2561"/>
        <w:gridCol w:w="2410"/>
        <w:gridCol w:w="2268"/>
      </w:tblGrid>
      <w:tr w:rsidR="002E0FD6" w:rsidRPr="002E0FD6" w:rsidTr="005F75BB">
        <w:tc>
          <w:tcPr>
            <w:tcW w:w="2401" w:type="dxa"/>
            <w:tcBorders>
              <w:top w:val="single" w:sz="4" w:space="0" w:color="auto"/>
              <w:bottom w:val="single" w:sz="4" w:space="0" w:color="auto"/>
              <w:right w:val="single" w:sz="4" w:space="0" w:color="auto"/>
            </w:tcBorders>
            <w:shd w:val="clear" w:color="auto" w:fill="99CCFF"/>
          </w:tcPr>
          <w:p w:rsidR="002E0FD6" w:rsidRPr="002E0FD6" w:rsidRDefault="002E0FD6" w:rsidP="00691DA3">
            <w:pPr>
              <w:jc w:val="center"/>
              <w:rPr>
                <w:b/>
                <w:sz w:val="22"/>
                <w:szCs w:val="22"/>
              </w:rPr>
            </w:pPr>
            <w:r w:rsidRPr="002E0FD6">
              <w:rPr>
                <w:b/>
                <w:sz w:val="22"/>
                <w:szCs w:val="22"/>
              </w:rPr>
              <w:t>1</w:t>
            </w:r>
            <w:r w:rsidRPr="002E0FD6">
              <w:rPr>
                <w:b/>
                <w:sz w:val="22"/>
                <w:szCs w:val="22"/>
                <w:vertAlign w:val="superscript"/>
              </w:rPr>
              <w:t>er</w:t>
            </w:r>
            <w:r w:rsidRPr="002E0FD6">
              <w:rPr>
                <w:b/>
                <w:sz w:val="22"/>
                <w:szCs w:val="22"/>
              </w:rPr>
              <w:t xml:space="preserve"> Plan 2012-2014</w:t>
            </w:r>
          </w:p>
        </w:tc>
        <w:tc>
          <w:tcPr>
            <w:tcW w:w="2561" w:type="dxa"/>
            <w:tcBorders>
              <w:top w:val="single" w:sz="4" w:space="0" w:color="auto"/>
              <w:left w:val="single" w:sz="4" w:space="0" w:color="auto"/>
              <w:bottom w:val="single" w:sz="4" w:space="0" w:color="auto"/>
              <w:right w:val="single" w:sz="4" w:space="0" w:color="auto"/>
            </w:tcBorders>
            <w:shd w:val="clear" w:color="auto" w:fill="99CCFF"/>
          </w:tcPr>
          <w:p w:rsidR="002E0FD6" w:rsidRPr="002E0FD6" w:rsidRDefault="002E0FD6" w:rsidP="00691DA3">
            <w:pPr>
              <w:jc w:val="center"/>
              <w:rPr>
                <w:b/>
                <w:sz w:val="22"/>
                <w:szCs w:val="22"/>
              </w:rPr>
            </w:pPr>
            <w:r w:rsidRPr="002E0FD6">
              <w:rPr>
                <w:b/>
                <w:sz w:val="22"/>
                <w:szCs w:val="22"/>
              </w:rPr>
              <w:t>2</w:t>
            </w:r>
            <w:r w:rsidRPr="002E0FD6">
              <w:rPr>
                <w:b/>
                <w:sz w:val="22"/>
                <w:szCs w:val="22"/>
                <w:vertAlign w:val="superscript"/>
              </w:rPr>
              <w:t>do</w:t>
            </w:r>
            <w:r w:rsidRPr="002E0FD6">
              <w:rPr>
                <w:b/>
                <w:sz w:val="22"/>
                <w:szCs w:val="22"/>
              </w:rPr>
              <w:t xml:space="preserve"> Plan 2014-2016</w:t>
            </w:r>
          </w:p>
        </w:tc>
        <w:tc>
          <w:tcPr>
            <w:tcW w:w="2410" w:type="dxa"/>
            <w:tcBorders>
              <w:top w:val="single" w:sz="4" w:space="0" w:color="auto"/>
              <w:left w:val="single" w:sz="4" w:space="0" w:color="auto"/>
              <w:bottom w:val="single" w:sz="4" w:space="0" w:color="auto"/>
              <w:right w:val="single" w:sz="4" w:space="0" w:color="auto"/>
            </w:tcBorders>
            <w:shd w:val="clear" w:color="auto" w:fill="99CCFF"/>
          </w:tcPr>
          <w:p w:rsidR="002E0FD6" w:rsidRPr="002E0FD6" w:rsidRDefault="002E0FD6" w:rsidP="00691DA3">
            <w:pPr>
              <w:jc w:val="center"/>
              <w:rPr>
                <w:b/>
                <w:sz w:val="22"/>
                <w:szCs w:val="22"/>
              </w:rPr>
            </w:pPr>
            <w:r w:rsidRPr="002E0FD6">
              <w:rPr>
                <w:b/>
                <w:sz w:val="22"/>
                <w:szCs w:val="22"/>
              </w:rPr>
              <w:t>3</w:t>
            </w:r>
            <w:r w:rsidRPr="002E0FD6">
              <w:rPr>
                <w:b/>
                <w:sz w:val="22"/>
                <w:szCs w:val="22"/>
                <w:vertAlign w:val="superscript"/>
              </w:rPr>
              <w:t>er</w:t>
            </w:r>
            <w:r w:rsidRPr="002E0FD6">
              <w:rPr>
                <w:b/>
                <w:sz w:val="22"/>
                <w:szCs w:val="22"/>
              </w:rPr>
              <w:t xml:space="preserve"> Plan 2016-2018</w:t>
            </w:r>
          </w:p>
        </w:tc>
        <w:tc>
          <w:tcPr>
            <w:tcW w:w="2268" w:type="dxa"/>
            <w:tcBorders>
              <w:top w:val="single" w:sz="4" w:space="0" w:color="auto"/>
              <w:left w:val="single" w:sz="4" w:space="0" w:color="auto"/>
              <w:bottom w:val="single" w:sz="4" w:space="0" w:color="auto"/>
            </w:tcBorders>
            <w:shd w:val="clear" w:color="auto" w:fill="99CCFF"/>
          </w:tcPr>
          <w:p w:rsidR="002E0FD6" w:rsidRPr="002E0FD6" w:rsidRDefault="002E0FD6" w:rsidP="00691DA3">
            <w:pPr>
              <w:jc w:val="center"/>
              <w:rPr>
                <w:b/>
                <w:sz w:val="22"/>
                <w:szCs w:val="22"/>
              </w:rPr>
            </w:pPr>
            <w:r w:rsidRPr="002E0FD6">
              <w:rPr>
                <w:b/>
                <w:sz w:val="22"/>
                <w:szCs w:val="22"/>
              </w:rPr>
              <w:t>4</w:t>
            </w:r>
            <w:r w:rsidRPr="002E0FD6">
              <w:rPr>
                <w:b/>
                <w:sz w:val="22"/>
                <w:szCs w:val="22"/>
                <w:vertAlign w:val="superscript"/>
              </w:rPr>
              <w:t>to</w:t>
            </w:r>
            <w:r w:rsidRPr="002E0FD6">
              <w:rPr>
                <w:b/>
                <w:sz w:val="22"/>
                <w:szCs w:val="22"/>
              </w:rPr>
              <w:t xml:space="preserve"> Plan 2018-2020</w:t>
            </w:r>
          </w:p>
        </w:tc>
      </w:tr>
      <w:tr w:rsidR="002E0FD6" w:rsidRPr="002E0FD6" w:rsidTr="00131670">
        <w:tc>
          <w:tcPr>
            <w:tcW w:w="2401" w:type="dxa"/>
            <w:tcBorders>
              <w:top w:val="single" w:sz="4" w:space="0" w:color="auto"/>
              <w:right w:val="single" w:sz="4" w:space="0" w:color="auto"/>
            </w:tcBorders>
          </w:tcPr>
          <w:p w:rsidR="002E0FD6" w:rsidRPr="002E0FD6" w:rsidRDefault="002E0FD6" w:rsidP="00691DA3">
            <w:pPr>
              <w:rPr>
                <w:sz w:val="22"/>
                <w:szCs w:val="22"/>
              </w:rPr>
            </w:pPr>
          </w:p>
        </w:tc>
        <w:tc>
          <w:tcPr>
            <w:tcW w:w="2561" w:type="dxa"/>
            <w:tcBorders>
              <w:top w:val="single" w:sz="4" w:space="0" w:color="auto"/>
              <w:left w:val="single" w:sz="4" w:space="0" w:color="auto"/>
              <w:right w:val="single" w:sz="4" w:space="0" w:color="auto"/>
            </w:tcBorders>
          </w:tcPr>
          <w:p w:rsidR="002E0FD6" w:rsidRPr="002E0FD6" w:rsidRDefault="002E0FD6" w:rsidP="00691DA3">
            <w:pPr>
              <w:rPr>
                <w:sz w:val="22"/>
                <w:szCs w:val="22"/>
              </w:rPr>
            </w:pPr>
          </w:p>
        </w:tc>
        <w:tc>
          <w:tcPr>
            <w:tcW w:w="2410" w:type="dxa"/>
            <w:tcBorders>
              <w:top w:val="single" w:sz="4" w:space="0" w:color="auto"/>
              <w:left w:val="single" w:sz="4" w:space="0" w:color="auto"/>
              <w:right w:val="single" w:sz="4" w:space="0" w:color="auto"/>
            </w:tcBorders>
          </w:tcPr>
          <w:p w:rsidR="002E0FD6" w:rsidRPr="002E0FD6" w:rsidRDefault="002E0FD6" w:rsidP="00691DA3">
            <w:pPr>
              <w:rPr>
                <w:sz w:val="22"/>
                <w:szCs w:val="22"/>
              </w:rPr>
            </w:pPr>
          </w:p>
        </w:tc>
        <w:tc>
          <w:tcPr>
            <w:tcW w:w="2268" w:type="dxa"/>
            <w:tcBorders>
              <w:top w:val="single" w:sz="4" w:space="0" w:color="auto"/>
              <w:left w:val="single" w:sz="4" w:space="0" w:color="auto"/>
            </w:tcBorders>
          </w:tcPr>
          <w:p w:rsidR="002E0FD6" w:rsidRPr="002E0FD6" w:rsidRDefault="002E0FD6" w:rsidP="00691DA3">
            <w:pPr>
              <w:rPr>
                <w:sz w:val="22"/>
                <w:szCs w:val="22"/>
              </w:rPr>
            </w:pP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2 Ejes temáticos</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5 Ejes temáticos</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5 Ejes temáticos</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12 Ejes temáticos</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3 Compromisos (14 hitos o metas)</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48 Compromisos</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22 Compromisos</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24 Compromisos</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(todos de Transparencia Fiscal)</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22 propuestos por Gobierno</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(7 de Transparencia Fiscal)</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(3 de Transparencia Fiscal)</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26 propuestos por OSC</w:t>
            </w:r>
          </w:p>
        </w:tc>
        <w:tc>
          <w:tcPr>
            <w:tcW w:w="2410" w:type="dxa"/>
            <w:tcBorders>
              <w:left w:val="single" w:sz="4" w:space="0" w:color="auto"/>
              <w:right w:val="single" w:sz="4" w:space="0" w:color="auto"/>
            </w:tcBorders>
          </w:tcPr>
          <w:p w:rsidR="002E0FD6" w:rsidRPr="002E0FD6" w:rsidRDefault="002E0FD6" w:rsidP="00691DA3">
            <w:pPr>
              <w:rPr>
                <w:sz w:val="22"/>
                <w:szCs w:val="22"/>
              </w:rPr>
            </w:pPr>
          </w:p>
        </w:tc>
        <w:tc>
          <w:tcPr>
            <w:tcW w:w="2268" w:type="dxa"/>
            <w:tcBorders>
              <w:left w:val="single" w:sz="4" w:space="0" w:color="auto"/>
            </w:tcBorders>
          </w:tcPr>
          <w:p w:rsidR="002E0FD6" w:rsidRPr="002E0FD6" w:rsidRDefault="002E0FD6" w:rsidP="00691DA3">
            <w:pPr>
              <w:rPr>
                <w:sz w:val="22"/>
                <w:szCs w:val="22"/>
              </w:rPr>
            </w:pP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(12 de Transparencia Fiscal)</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3 Foros de Consulta Ciudadana</w:t>
            </w:r>
            <w:r w:rsidR="002A7078">
              <w:rPr>
                <w:sz w:val="22"/>
                <w:szCs w:val="22"/>
              </w:rPr>
              <w:t xml:space="preserve"> en el interior</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6 Foros de Consulta Ciudadana</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p>
        </w:tc>
        <w:tc>
          <w:tcPr>
            <w:tcW w:w="2561" w:type="dxa"/>
            <w:tcBorders>
              <w:left w:val="single" w:sz="4" w:space="0" w:color="auto"/>
              <w:right w:val="single" w:sz="4" w:space="0" w:color="auto"/>
            </w:tcBorders>
          </w:tcPr>
          <w:p w:rsidR="002E0FD6" w:rsidRPr="002E0FD6" w:rsidRDefault="002E0FD6" w:rsidP="00691DA3">
            <w:pPr>
              <w:rPr>
                <w:sz w:val="22"/>
                <w:szCs w:val="22"/>
              </w:rPr>
            </w:pPr>
          </w:p>
        </w:tc>
        <w:tc>
          <w:tcPr>
            <w:tcW w:w="2410" w:type="dxa"/>
            <w:tcBorders>
              <w:left w:val="single" w:sz="4" w:space="0" w:color="auto"/>
              <w:right w:val="single" w:sz="4" w:space="0" w:color="auto"/>
            </w:tcBorders>
          </w:tcPr>
          <w:p w:rsidR="002E0FD6" w:rsidRPr="002E0FD6" w:rsidRDefault="002A7078" w:rsidP="002A7078">
            <w:pPr>
              <w:rPr>
                <w:sz w:val="22"/>
                <w:szCs w:val="22"/>
              </w:rPr>
            </w:pPr>
            <w:r>
              <w:rPr>
                <w:sz w:val="22"/>
                <w:szCs w:val="22"/>
              </w:rPr>
              <w:t>Un c</w:t>
            </w:r>
            <w:r w:rsidR="002E0FD6" w:rsidRPr="002E0FD6">
              <w:rPr>
                <w:sz w:val="22"/>
                <w:szCs w:val="22"/>
              </w:rPr>
              <w:t xml:space="preserve">omité </w:t>
            </w:r>
            <w:r>
              <w:rPr>
                <w:sz w:val="22"/>
                <w:szCs w:val="22"/>
              </w:rPr>
              <w:t>t</w:t>
            </w:r>
            <w:r w:rsidR="002E0FD6" w:rsidRPr="002E0FD6">
              <w:rPr>
                <w:sz w:val="22"/>
                <w:szCs w:val="22"/>
              </w:rPr>
              <w:t>écnico por cada eje temático</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3 Rondas de Mesas de Trabajo</w:t>
            </w:r>
          </w:p>
          <w:p w:rsidR="002E0FD6" w:rsidRPr="002E0FD6" w:rsidRDefault="002E0FD6" w:rsidP="00691DA3">
            <w:pPr>
              <w:rPr>
                <w:sz w:val="22"/>
                <w:szCs w:val="22"/>
              </w:rPr>
            </w:pPr>
            <w:r w:rsidRPr="002E0FD6">
              <w:rPr>
                <w:sz w:val="22"/>
                <w:szCs w:val="22"/>
              </w:rPr>
              <w:t>Varias reuniones técnicas</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p>
        </w:tc>
        <w:tc>
          <w:tcPr>
            <w:tcW w:w="2561" w:type="dxa"/>
            <w:tcBorders>
              <w:left w:val="single" w:sz="4" w:space="0" w:color="auto"/>
              <w:right w:val="single" w:sz="4" w:space="0" w:color="auto"/>
            </w:tcBorders>
          </w:tcPr>
          <w:p w:rsidR="002E0FD6" w:rsidRPr="002E0FD6" w:rsidRDefault="002E0FD6" w:rsidP="00691DA3">
            <w:pPr>
              <w:rPr>
                <w:sz w:val="22"/>
                <w:szCs w:val="22"/>
              </w:rPr>
            </w:pPr>
          </w:p>
        </w:tc>
        <w:tc>
          <w:tcPr>
            <w:tcW w:w="2410" w:type="dxa"/>
            <w:tcBorders>
              <w:left w:val="single" w:sz="4" w:space="0" w:color="auto"/>
              <w:right w:val="single" w:sz="4" w:space="0" w:color="auto"/>
            </w:tcBorders>
          </w:tcPr>
          <w:p w:rsidR="002E0FD6" w:rsidRPr="002E0FD6" w:rsidRDefault="002E0FD6" w:rsidP="00691DA3">
            <w:pPr>
              <w:rPr>
                <w:sz w:val="22"/>
                <w:szCs w:val="22"/>
              </w:rPr>
            </w:pPr>
          </w:p>
        </w:tc>
        <w:tc>
          <w:tcPr>
            <w:tcW w:w="2268" w:type="dxa"/>
            <w:tcBorders>
              <w:left w:val="single" w:sz="4" w:space="0" w:color="auto"/>
            </w:tcBorders>
          </w:tcPr>
          <w:p w:rsidR="002E0FD6" w:rsidRPr="002E0FD6" w:rsidRDefault="002E0FD6" w:rsidP="00691DA3">
            <w:pPr>
              <w:rPr>
                <w:sz w:val="22"/>
                <w:szCs w:val="22"/>
              </w:rPr>
            </w:pP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Propuesta</w:t>
            </w:r>
            <w:r w:rsidR="00131670">
              <w:rPr>
                <w:sz w:val="22"/>
                <w:szCs w:val="22"/>
              </w:rPr>
              <w:t>s</w:t>
            </w:r>
            <w:r w:rsidRPr="002E0FD6">
              <w:rPr>
                <w:sz w:val="22"/>
                <w:szCs w:val="22"/>
              </w:rPr>
              <w:t xml:space="preserve"> solo de</w:t>
            </w:r>
            <w:r w:rsidR="00131670">
              <w:rPr>
                <w:sz w:val="22"/>
                <w:szCs w:val="22"/>
              </w:rPr>
              <w:t>l</w:t>
            </w:r>
            <w:r w:rsidRPr="002E0FD6">
              <w:rPr>
                <w:sz w:val="22"/>
                <w:szCs w:val="22"/>
              </w:rPr>
              <w:t xml:space="preserve"> Gobierno</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Coyuntura política de 2015</w:t>
            </w:r>
          </w:p>
        </w:tc>
        <w:tc>
          <w:tcPr>
            <w:tcW w:w="2410" w:type="dxa"/>
            <w:tcBorders>
              <w:left w:val="single" w:sz="4" w:space="0" w:color="auto"/>
              <w:right w:val="single" w:sz="4" w:space="0" w:color="auto"/>
            </w:tcBorders>
          </w:tcPr>
          <w:p w:rsidR="002E0FD6" w:rsidRPr="002E0FD6" w:rsidRDefault="002A7078" w:rsidP="002A7078">
            <w:pPr>
              <w:rPr>
                <w:sz w:val="22"/>
                <w:szCs w:val="22"/>
              </w:rPr>
            </w:pPr>
            <w:r>
              <w:rPr>
                <w:sz w:val="22"/>
                <w:szCs w:val="22"/>
              </w:rPr>
              <w:t>Existió a</w:t>
            </w:r>
            <w:r w:rsidR="002E0FD6" w:rsidRPr="002E0FD6">
              <w:rPr>
                <w:sz w:val="22"/>
                <w:szCs w:val="22"/>
              </w:rPr>
              <w:t xml:space="preserve">utoevaluación </w:t>
            </w:r>
            <w:r>
              <w:rPr>
                <w:sz w:val="22"/>
                <w:szCs w:val="22"/>
              </w:rPr>
              <w:t xml:space="preserve">por parte </w:t>
            </w:r>
            <w:r w:rsidR="002E0FD6" w:rsidRPr="002E0FD6">
              <w:rPr>
                <w:sz w:val="22"/>
                <w:szCs w:val="22"/>
              </w:rPr>
              <w:t>de</w:t>
            </w:r>
            <w:r>
              <w:rPr>
                <w:sz w:val="22"/>
                <w:szCs w:val="22"/>
              </w:rPr>
              <w:t>l</w:t>
            </w:r>
            <w:r w:rsidR="002E0FD6" w:rsidRPr="002E0FD6">
              <w:rPr>
                <w:sz w:val="22"/>
                <w:szCs w:val="22"/>
              </w:rPr>
              <w:t xml:space="preserve"> Gobierno</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Revisión a la metodología propuesta por organizaciones de sociedad civil</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No participó sociedad civil</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COPRET suspende funciones</w:t>
            </w:r>
            <w:r w:rsidR="00131670">
              <w:rPr>
                <w:sz w:val="22"/>
                <w:szCs w:val="22"/>
              </w:rPr>
              <w:t xml:space="preserve"> en 2015</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Evaluación del MRI</w:t>
            </w:r>
            <w:r w:rsidR="002A7078">
              <w:rPr>
                <w:sz w:val="22"/>
                <w:szCs w:val="22"/>
              </w:rPr>
              <w:t xml:space="preserve"> (investigador independiente)</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Evaluación en línea</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COPRET no consultó con entidades públicas ni con sociedad civil</w:t>
            </w:r>
          </w:p>
        </w:tc>
        <w:tc>
          <w:tcPr>
            <w:tcW w:w="2561" w:type="dxa"/>
            <w:tcBorders>
              <w:left w:val="single" w:sz="4" w:space="0" w:color="auto"/>
              <w:right w:val="single" w:sz="4" w:space="0" w:color="auto"/>
            </w:tcBorders>
          </w:tcPr>
          <w:p w:rsidR="002E0FD6" w:rsidRPr="002E0FD6" w:rsidRDefault="002E0FD6" w:rsidP="00691DA3">
            <w:pPr>
              <w:rPr>
                <w:sz w:val="22"/>
                <w:szCs w:val="22"/>
              </w:rPr>
            </w:pPr>
          </w:p>
        </w:tc>
        <w:tc>
          <w:tcPr>
            <w:tcW w:w="2410" w:type="dxa"/>
            <w:tcBorders>
              <w:left w:val="single" w:sz="4" w:space="0" w:color="auto"/>
              <w:right w:val="single" w:sz="4" w:space="0" w:color="auto"/>
            </w:tcBorders>
          </w:tcPr>
          <w:p w:rsidR="002E0FD6" w:rsidRPr="002E0FD6" w:rsidRDefault="002E0FD6" w:rsidP="00691DA3">
            <w:pPr>
              <w:rPr>
                <w:sz w:val="22"/>
                <w:szCs w:val="22"/>
              </w:rPr>
            </w:pP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Revisión del Comité Técnico</w:t>
            </w:r>
          </w:p>
          <w:p w:rsidR="002E0FD6" w:rsidRPr="002E0FD6" w:rsidRDefault="002E0FD6" w:rsidP="00691DA3">
            <w:pPr>
              <w:rPr>
                <w:sz w:val="22"/>
                <w:szCs w:val="22"/>
              </w:rPr>
            </w:pPr>
            <w:r w:rsidRPr="002E0FD6">
              <w:rPr>
                <w:sz w:val="22"/>
                <w:szCs w:val="22"/>
              </w:rPr>
              <w:t>Revisión del Comité de Estilo</w:t>
            </w:r>
          </w:p>
          <w:p w:rsidR="002E0FD6" w:rsidRPr="002E0FD6" w:rsidRDefault="002E0FD6" w:rsidP="00691DA3">
            <w:pPr>
              <w:rPr>
                <w:sz w:val="22"/>
                <w:szCs w:val="22"/>
              </w:rPr>
            </w:pPr>
            <w:r w:rsidRPr="002E0FD6">
              <w:rPr>
                <w:sz w:val="22"/>
                <w:szCs w:val="22"/>
              </w:rPr>
              <w:t>Revisión de la OGP</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Contenido irrelevante para sociedad civil</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 xml:space="preserve">No existe evaluación oficial </w:t>
            </w:r>
            <w:r w:rsidR="00131670">
              <w:rPr>
                <w:sz w:val="22"/>
                <w:szCs w:val="22"/>
              </w:rPr>
              <w:t xml:space="preserve">del Plan por parte </w:t>
            </w:r>
            <w:r w:rsidRPr="002E0FD6">
              <w:rPr>
                <w:sz w:val="22"/>
                <w:szCs w:val="22"/>
              </w:rPr>
              <w:t>de</w:t>
            </w:r>
            <w:r w:rsidR="00131670">
              <w:rPr>
                <w:sz w:val="22"/>
                <w:szCs w:val="22"/>
              </w:rPr>
              <w:t>l</w:t>
            </w:r>
            <w:r w:rsidRPr="002E0FD6">
              <w:rPr>
                <w:sz w:val="22"/>
                <w:szCs w:val="22"/>
              </w:rPr>
              <w:t xml:space="preserve"> Gobierno</w:t>
            </w:r>
          </w:p>
        </w:tc>
        <w:tc>
          <w:tcPr>
            <w:tcW w:w="2410" w:type="dxa"/>
            <w:tcBorders>
              <w:left w:val="single" w:sz="4" w:space="0" w:color="auto"/>
              <w:right w:val="single" w:sz="4" w:space="0" w:color="auto"/>
            </w:tcBorders>
          </w:tcPr>
          <w:p w:rsidR="002E0FD6" w:rsidRPr="002E0FD6" w:rsidRDefault="002E0FD6" w:rsidP="002A7078">
            <w:pPr>
              <w:rPr>
                <w:sz w:val="22"/>
                <w:szCs w:val="22"/>
              </w:rPr>
            </w:pPr>
            <w:r w:rsidRPr="002E0FD6">
              <w:rPr>
                <w:sz w:val="22"/>
                <w:szCs w:val="22"/>
              </w:rPr>
              <w:t xml:space="preserve">96.68% de </w:t>
            </w:r>
            <w:r w:rsidR="002A7078">
              <w:rPr>
                <w:sz w:val="22"/>
                <w:szCs w:val="22"/>
              </w:rPr>
              <w:t>a</w:t>
            </w:r>
            <w:r w:rsidRPr="002E0FD6">
              <w:rPr>
                <w:sz w:val="22"/>
                <w:szCs w:val="22"/>
              </w:rPr>
              <w:t>vance en los compromisos de transparencia fiscal</w:t>
            </w:r>
          </w:p>
        </w:tc>
        <w:tc>
          <w:tcPr>
            <w:tcW w:w="2268" w:type="dxa"/>
            <w:tcBorders>
              <w:left w:val="single" w:sz="4" w:space="0" w:color="auto"/>
            </w:tcBorders>
          </w:tcPr>
          <w:p w:rsidR="002E0FD6" w:rsidRPr="002E0FD6" w:rsidRDefault="002E0FD6" w:rsidP="00691DA3">
            <w:pPr>
              <w:rPr>
                <w:sz w:val="22"/>
                <w:szCs w:val="22"/>
              </w:rPr>
            </w:pP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Impacto Medio</w:t>
            </w:r>
          </w:p>
        </w:tc>
        <w:tc>
          <w:tcPr>
            <w:tcW w:w="2561" w:type="dxa"/>
            <w:tcBorders>
              <w:left w:val="single" w:sz="4" w:space="0" w:color="auto"/>
              <w:right w:val="single" w:sz="4" w:space="0" w:color="auto"/>
            </w:tcBorders>
          </w:tcPr>
          <w:p w:rsidR="002E0FD6" w:rsidRPr="002E0FD6" w:rsidRDefault="002E0FD6" w:rsidP="00691DA3">
            <w:pPr>
              <w:rPr>
                <w:sz w:val="22"/>
                <w:szCs w:val="22"/>
              </w:rPr>
            </w:pPr>
          </w:p>
        </w:tc>
        <w:tc>
          <w:tcPr>
            <w:tcW w:w="2410" w:type="dxa"/>
            <w:tcBorders>
              <w:left w:val="single" w:sz="4" w:space="0" w:color="auto"/>
              <w:right w:val="single" w:sz="4" w:space="0" w:color="auto"/>
            </w:tcBorders>
          </w:tcPr>
          <w:p w:rsidR="002E0FD6" w:rsidRPr="002E0FD6" w:rsidRDefault="002E0FD6" w:rsidP="002A7078">
            <w:pPr>
              <w:rPr>
                <w:sz w:val="22"/>
                <w:szCs w:val="22"/>
              </w:rPr>
            </w:pPr>
            <w:r w:rsidRPr="002E0FD6">
              <w:rPr>
                <w:sz w:val="22"/>
                <w:szCs w:val="22"/>
              </w:rPr>
              <w:t xml:space="preserve">90.22 % de </w:t>
            </w:r>
            <w:r w:rsidR="002A7078">
              <w:rPr>
                <w:sz w:val="22"/>
                <w:szCs w:val="22"/>
              </w:rPr>
              <w:t>a</w:t>
            </w:r>
            <w:r w:rsidRPr="002E0FD6">
              <w:rPr>
                <w:sz w:val="22"/>
                <w:szCs w:val="22"/>
              </w:rPr>
              <w:t xml:space="preserve">vance </w:t>
            </w:r>
            <w:r w:rsidR="002A7078">
              <w:rPr>
                <w:sz w:val="22"/>
                <w:szCs w:val="22"/>
              </w:rPr>
              <w:t>g</w:t>
            </w:r>
            <w:r w:rsidRPr="002E0FD6">
              <w:rPr>
                <w:sz w:val="22"/>
                <w:szCs w:val="22"/>
              </w:rPr>
              <w:t>lobal del Plan</w:t>
            </w:r>
          </w:p>
        </w:tc>
        <w:tc>
          <w:tcPr>
            <w:tcW w:w="2268" w:type="dxa"/>
            <w:tcBorders>
              <w:left w:val="single" w:sz="4" w:space="0" w:color="auto"/>
            </w:tcBorders>
          </w:tcPr>
          <w:p w:rsidR="002E0FD6" w:rsidRPr="002E0FD6" w:rsidRDefault="002E0FD6" w:rsidP="00691DA3">
            <w:pPr>
              <w:rPr>
                <w:sz w:val="22"/>
                <w:szCs w:val="22"/>
              </w:rPr>
            </w:pP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p>
        </w:tc>
        <w:tc>
          <w:tcPr>
            <w:tcW w:w="2561" w:type="dxa"/>
            <w:tcBorders>
              <w:left w:val="single" w:sz="4" w:space="0" w:color="auto"/>
              <w:right w:val="single" w:sz="4" w:space="0" w:color="auto"/>
            </w:tcBorders>
          </w:tcPr>
          <w:p w:rsidR="002E0FD6" w:rsidRPr="002E0FD6" w:rsidRDefault="002E0FD6" w:rsidP="00691DA3">
            <w:pPr>
              <w:rPr>
                <w:sz w:val="22"/>
                <w:szCs w:val="22"/>
              </w:rPr>
            </w:pPr>
          </w:p>
        </w:tc>
        <w:tc>
          <w:tcPr>
            <w:tcW w:w="2410" w:type="dxa"/>
            <w:tcBorders>
              <w:left w:val="single" w:sz="4" w:space="0" w:color="auto"/>
              <w:right w:val="single" w:sz="4" w:space="0" w:color="auto"/>
            </w:tcBorders>
          </w:tcPr>
          <w:p w:rsidR="002E0FD6" w:rsidRPr="002E0FD6" w:rsidRDefault="002E0FD6" w:rsidP="00691DA3">
            <w:pPr>
              <w:rPr>
                <w:sz w:val="22"/>
                <w:szCs w:val="22"/>
              </w:rPr>
            </w:pPr>
          </w:p>
        </w:tc>
        <w:tc>
          <w:tcPr>
            <w:tcW w:w="2268" w:type="dxa"/>
            <w:tcBorders>
              <w:left w:val="single" w:sz="4" w:space="0" w:color="auto"/>
            </w:tcBorders>
          </w:tcPr>
          <w:p w:rsidR="002E0FD6" w:rsidRPr="002E0FD6" w:rsidRDefault="002E0FD6" w:rsidP="00691DA3">
            <w:pPr>
              <w:rPr>
                <w:sz w:val="22"/>
                <w:szCs w:val="22"/>
              </w:rPr>
            </w:pP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Evaluación de 14 hitos (según MRI):</w:t>
            </w:r>
          </w:p>
        </w:tc>
        <w:tc>
          <w:tcPr>
            <w:tcW w:w="2561"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MINFIN rescata sus compromisos de Transparencia Fiscal:</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Informe Final en página de Gobierno Abierto para comentarios de la ciudadanía</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20 de noviembre validación técnica por autoridades superiores</w:t>
            </w:r>
            <w:r w:rsidR="002A7078">
              <w:rPr>
                <w:sz w:val="22"/>
                <w:szCs w:val="22"/>
              </w:rPr>
              <w:t xml:space="preserve"> de entidades públicas</w:t>
            </w:r>
          </w:p>
        </w:tc>
      </w:tr>
      <w:tr w:rsidR="002E0FD6" w:rsidRPr="002E0FD6" w:rsidTr="00131670">
        <w:tc>
          <w:tcPr>
            <w:tcW w:w="2401" w:type="dxa"/>
            <w:tcBorders>
              <w:right w:val="single" w:sz="4" w:space="0" w:color="auto"/>
            </w:tcBorders>
          </w:tcPr>
          <w:p w:rsidR="002E0FD6" w:rsidRPr="002E0FD6" w:rsidRDefault="002E0FD6" w:rsidP="00691DA3">
            <w:pPr>
              <w:rPr>
                <w:sz w:val="22"/>
                <w:szCs w:val="22"/>
              </w:rPr>
            </w:pPr>
            <w:r w:rsidRPr="002E0FD6">
              <w:rPr>
                <w:sz w:val="22"/>
                <w:szCs w:val="22"/>
              </w:rPr>
              <w:t>No iniciados          2</w:t>
            </w:r>
          </w:p>
          <w:p w:rsidR="002E0FD6" w:rsidRPr="002E0FD6" w:rsidRDefault="002E0FD6" w:rsidP="00691DA3">
            <w:pPr>
              <w:rPr>
                <w:sz w:val="22"/>
                <w:szCs w:val="22"/>
              </w:rPr>
            </w:pPr>
            <w:r w:rsidRPr="002E0FD6">
              <w:rPr>
                <w:sz w:val="22"/>
                <w:szCs w:val="22"/>
              </w:rPr>
              <w:t>Limitados            10</w:t>
            </w:r>
          </w:p>
          <w:p w:rsidR="002E0FD6" w:rsidRPr="002E0FD6" w:rsidRDefault="002E0FD6" w:rsidP="00691DA3">
            <w:pPr>
              <w:rPr>
                <w:sz w:val="22"/>
                <w:szCs w:val="22"/>
              </w:rPr>
            </w:pPr>
            <w:r w:rsidRPr="002E0FD6">
              <w:rPr>
                <w:sz w:val="22"/>
                <w:szCs w:val="22"/>
              </w:rPr>
              <w:t>Sustantivos           2</w:t>
            </w:r>
          </w:p>
          <w:p w:rsidR="002E0FD6" w:rsidRPr="002E0FD6" w:rsidRDefault="002E0FD6" w:rsidP="00691DA3">
            <w:pPr>
              <w:rPr>
                <w:sz w:val="22"/>
                <w:szCs w:val="22"/>
              </w:rPr>
            </w:pPr>
            <w:r w:rsidRPr="002E0FD6">
              <w:rPr>
                <w:sz w:val="22"/>
                <w:szCs w:val="22"/>
              </w:rPr>
              <w:t>Completos            0</w:t>
            </w:r>
          </w:p>
        </w:tc>
        <w:tc>
          <w:tcPr>
            <w:tcW w:w="2561" w:type="dxa"/>
            <w:tcBorders>
              <w:left w:val="single" w:sz="4" w:space="0" w:color="auto"/>
              <w:right w:val="single" w:sz="4" w:space="0" w:color="auto"/>
            </w:tcBorders>
          </w:tcPr>
          <w:p w:rsidR="002E0FD6" w:rsidRPr="002E0FD6" w:rsidRDefault="00131670" w:rsidP="00691DA3">
            <w:pPr>
              <w:rPr>
                <w:sz w:val="22"/>
                <w:szCs w:val="22"/>
              </w:rPr>
            </w:pPr>
            <w:r>
              <w:rPr>
                <w:sz w:val="22"/>
                <w:szCs w:val="22"/>
              </w:rPr>
              <w:t>I</w:t>
            </w:r>
            <w:r w:rsidR="002E0FD6" w:rsidRPr="002E0FD6">
              <w:rPr>
                <w:sz w:val="22"/>
                <w:szCs w:val="22"/>
              </w:rPr>
              <w:t xml:space="preserve">niciados </w:t>
            </w:r>
            <w:r>
              <w:rPr>
                <w:sz w:val="22"/>
                <w:szCs w:val="22"/>
              </w:rPr>
              <w:t xml:space="preserve">         </w:t>
            </w:r>
            <w:r w:rsidR="002E0FD6" w:rsidRPr="002E0FD6">
              <w:rPr>
                <w:sz w:val="22"/>
                <w:szCs w:val="22"/>
              </w:rPr>
              <w:t xml:space="preserve"> </w:t>
            </w:r>
            <w:r>
              <w:rPr>
                <w:sz w:val="22"/>
                <w:szCs w:val="22"/>
              </w:rPr>
              <w:t xml:space="preserve"> </w:t>
            </w:r>
            <w:r w:rsidR="002E0FD6" w:rsidRPr="002E0FD6">
              <w:rPr>
                <w:sz w:val="22"/>
                <w:szCs w:val="22"/>
              </w:rPr>
              <w:t>2</w:t>
            </w:r>
          </w:p>
          <w:p w:rsidR="002E0FD6" w:rsidRPr="002E0FD6" w:rsidRDefault="00131670" w:rsidP="00691DA3">
            <w:pPr>
              <w:rPr>
                <w:sz w:val="22"/>
                <w:szCs w:val="22"/>
              </w:rPr>
            </w:pPr>
            <w:r>
              <w:rPr>
                <w:sz w:val="22"/>
                <w:szCs w:val="22"/>
              </w:rPr>
              <w:t>E</w:t>
            </w:r>
            <w:r w:rsidR="002E0FD6" w:rsidRPr="002E0FD6">
              <w:rPr>
                <w:sz w:val="22"/>
                <w:szCs w:val="22"/>
              </w:rPr>
              <w:t xml:space="preserve">n curso     </w:t>
            </w:r>
            <w:r>
              <w:rPr>
                <w:sz w:val="22"/>
                <w:szCs w:val="22"/>
              </w:rPr>
              <w:t xml:space="preserve">     </w:t>
            </w:r>
            <w:r w:rsidR="002E0FD6" w:rsidRPr="002E0FD6">
              <w:rPr>
                <w:sz w:val="22"/>
                <w:szCs w:val="22"/>
              </w:rPr>
              <w:t xml:space="preserve"> </w:t>
            </w:r>
            <w:r>
              <w:rPr>
                <w:sz w:val="22"/>
                <w:szCs w:val="22"/>
              </w:rPr>
              <w:t xml:space="preserve"> </w:t>
            </w:r>
            <w:r w:rsidR="002E0FD6" w:rsidRPr="002E0FD6">
              <w:rPr>
                <w:sz w:val="22"/>
                <w:szCs w:val="22"/>
              </w:rPr>
              <w:t>5</w:t>
            </w:r>
          </w:p>
          <w:p w:rsidR="002E0FD6" w:rsidRPr="002E0FD6" w:rsidRDefault="00131670" w:rsidP="00691DA3">
            <w:pPr>
              <w:rPr>
                <w:sz w:val="22"/>
                <w:szCs w:val="22"/>
              </w:rPr>
            </w:pPr>
            <w:r>
              <w:rPr>
                <w:sz w:val="22"/>
                <w:szCs w:val="22"/>
              </w:rPr>
              <w:t>S</w:t>
            </w:r>
            <w:r w:rsidR="002E0FD6" w:rsidRPr="002E0FD6">
              <w:rPr>
                <w:sz w:val="22"/>
                <w:szCs w:val="22"/>
              </w:rPr>
              <w:t>ustanciales</w:t>
            </w:r>
            <w:r>
              <w:rPr>
                <w:sz w:val="22"/>
                <w:szCs w:val="22"/>
              </w:rPr>
              <w:t xml:space="preserve">       </w:t>
            </w:r>
            <w:r w:rsidR="002E0FD6" w:rsidRPr="002E0FD6">
              <w:rPr>
                <w:sz w:val="22"/>
                <w:szCs w:val="22"/>
              </w:rPr>
              <w:t>3</w:t>
            </w:r>
          </w:p>
          <w:p w:rsidR="002E0FD6" w:rsidRPr="002E0FD6" w:rsidRDefault="00131670" w:rsidP="00131670">
            <w:pPr>
              <w:rPr>
                <w:sz w:val="22"/>
                <w:szCs w:val="22"/>
              </w:rPr>
            </w:pPr>
            <w:r>
              <w:rPr>
                <w:sz w:val="22"/>
                <w:szCs w:val="22"/>
              </w:rPr>
              <w:t xml:space="preserve">Completos        </w:t>
            </w:r>
            <w:r w:rsidR="002E0FD6" w:rsidRPr="002E0FD6">
              <w:rPr>
                <w:sz w:val="22"/>
                <w:szCs w:val="22"/>
              </w:rPr>
              <w:t xml:space="preserve"> 2</w:t>
            </w:r>
          </w:p>
        </w:tc>
        <w:tc>
          <w:tcPr>
            <w:tcW w:w="2410" w:type="dxa"/>
            <w:tcBorders>
              <w:left w:val="single" w:sz="4" w:space="0" w:color="auto"/>
              <w:right w:val="single" w:sz="4" w:space="0" w:color="auto"/>
            </w:tcBorders>
          </w:tcPr>
          <w:p w:rsidR="002E0FD6" w:rsidRPr="002E0FD6" w:rsidRDefault="002E0FD6" w:rsidP="00691DA3">
            <w:pPr>
              <w:rPr>
                <w:sz w:val="22"/>
                <w:szCs w:val="22"/>
              </w:rPr>
            </w:pPr>
            <w:r w:rsidRPr="002E0FD6">
              <w:rPr>
                <w:sz w:val="22"/>
                <w:szCs w:val="22"/>
              </w:rPr>
              <w:t xml:space="preserve">Buen ejercicio de co-creación entre </w:t>
            </w:r>
            <w:r w:rsidR="002A7078">
              <w:rPr>
                <w:sz w:val="22"/>
                <w:szCs w:val="22"/>
              </w:rPr>
              <w:t xml:space="preserve">el </w:t>
            </w:r>
            <w:r w:rsidRPr="002E0FD6">
              <w:rPr>
                <w:sz w:val="22"/>
                <w:szCs w:val="22"/>
              </w:rPr>
              <w:t xml:space="preserve">Gobierno y </w:t>
            </w:r>
            <w:r w:rsidR="002A7078">
              <w:rPr>
                <w:sz w:val="22"/>
                <w:szCs w:val="22"/>
              </w:rPr>
              <w:t xml:space="preserve">organizaciones de la </w:t>
            </w:r>
            <w:r w:rsidRPr="002E0FD6">
              <w:rPr>
                <w:sz w:val="22"/>
                <w:szCs w:val="22"/>
              </w:rPr>
              <w:t>sociedad civil</w:t>
            </w:r>
          </w:p>
        </w:tc>
        <w:tc>
          <w:tcPr>
            <w:tcW w:w="2268" w:type="dxa"/>
            <w:tcBorders>
              <w:left w:val="single" w:sz="4" w:space="0" w:color="auto"/>
            </w:tcBorders>
          </w:tcPr>
          <w:p w:rsidR="002E0FD6" w:rsidRPr="002E0FD6" w:rsidRDefault="002E0FD6" w:rsidP="00691DA3">
            <w:pPr>
              <w:rPr>
                <w:sz w:val="22"/>
                <w:szCs w:val="22"/>
              </w:rPr>
            </w:pPr>
            <w:r w:rsidRPr="002E0FD6">
              <w:rPr>
                <w:sz w:val="22"/>
                <w:szCs w:val="22"/>
              </w:rPr>
              <w:t>28 de noviembre lanzamiento oficial por el Presidente de la República</w:t>
            </w:r>
          </w:p>
        </w:tc>
      </w:tr>
      <w:tr w:rsidR="002E0FD6" w:rsidRPr="002E0FD6" w:rsidTr="00131670">
        <w:tc>
          <w:tcPr>
            <w:tcW w:w="2401" w:type="dxa"/>
            <w:tcBorders>
              <w:bottom w:val="single" w:sz="4" w:space="0" w:color="auto"/>
              <w:right w:val="single" w:sz="4" w:space="0" w:color="auto"/>
            </w:tcBorders>
          </w:tcPr>
          <w:p w:rsidR="002E0FD6" w:rsidRPr="002E0FD6" w:rsidRDefault="002E0FD6" w:rsidP="00691DA3">
            <w:pPr>
              <w:rPr>
                <w:sz w:val="22"/>
                <w:szCs w:val="22"/>
              </w:rPr>
            </w:pPr>
          </w:p>
        </w:tc>
        <w:tc>
          <w:tcPr>
            <w:tcW w:w="2561" w:type="dxa"/>
            <w:tcBorders>
              <w:left w:val="single" w:sz="4" w:space="0" w:color="auto"/>
              <w:bottom w:val="single" w:sz="4" w:space="0" w:color="auto"/>
              <w:right w:val="single" w:sz="4" w:space="0" w:color="auto"/>
            </w:tcBorders>
          </w:tcPr>
          <w:p w:rsidR="002E0FD6" w:rsidRPr="002E0FD6" w:rsidRDefault="002E0FD6" w:rsidP="00691DA3">
            <w:pPr>
              <w:rPr>
                <w:sz w:val="22"/>
                <w:szCs w:val="22"/>
              </w:rPr>
            </w:pPr>
          </w:p>
        </w:tc>
        <w:tc>
          <w:tcPr>
            <w:tcW w:w="2410" w:type="dxa"/>
            <w:tcBorders>
              <w:left w:val="single" w:sz="4" w:space="0" w:color="auto"/>
              <w:bottom w:val="single" w:sz="4" w:space="0" w:color="auto"/>
              <w:right w:val="single" w:sz="4" w:space="0" w:color="auto"/>
            </w:tcBorders>
          </w:tcPr>
          <w:p w:rsidR="002E0FD6" w:rsidRPr="002E0FD6" w:rsidRDefault="002E0FD6" w:rsidP="00691DA3">
            <w:pPr>
              <w:rPr>
                <w:sz w:val="22"/>
                <w:szCs w:val="22"/>
              </w:rPr>
            </w:pPr>
          </w:p>
        </w:tc>
        <w:tc>
          <w:tcPr>
            <w:tcW w:w="2268" w:type="dxa"/>
            <w:tcBorders>
              <w:left w:val="single" w:sz="4" w:space="0" w:color="auto"/>
              <w:bottom w:val="single" w:sz="4" w:space="0" w:color="auto"/>
            </w:tcBorders>
          </w:tcPr>
          <w:p w:rsidR="002E0FD6" w:rsidRPr="002E0FD6" w:rsidRDefault="002E0FD6" w:rsidP="00691DA3">
            <w:pPr>
              <w:rPr>
                <w:sz w:val="22"/>
                <w:szCs w:val="22"/>
              </w:rPr>
            </w:pPr>
          </w:p>
        </w:tc>
      </w:tr>
    </w:tbl>
    <w:p w:rsidR="002E0FD6" w:rsidRDefault="002E0FD6" w:rsidP="002E0FD6">
      <w:pPr>
        <w:ind w:left="-426"/>
        <w:jc w:val="both"/>
        <w:rPr>
          <w:rFonts w:eastAsia="Calibri"/>
          <w:sz w:val="18"/>
          <w:lang w:eastAsia="en-US" w:bidi="en-US"/>
        </w:rPr>
      </w:pPr>
      <w:r w:rsidRPr="002E0FD6">
        <w:rPr>
          <w:rFonts w:eastAsia="Calibri"/>
          <w:sz w:val="18"/>
          <w:lang w:eastAsia="en-US" w:bidi="en-US"/>
        </w:rPr>
        <w:t xml:space="preserve">Fuente: </w:t>
      </w:r>
      <w:r w:rsidR="00131670">
        <w:rPr>
          <w:rFonts w:eastAsia="Calibri"/>
          <w:sz w:val="18"/>
          <w:lang w:eastAsia="en-US" w:bidi="en-US"/>
        </w:rPr>
        <w:t>Ministerio de Finanzas Públicas, conforme informes de OGP.</w:t>
      </w:r>
    </w:p>
    <w:p w:rsidR="006369BD" w:rsidRDefault="006369BD" w:rsidP="002E0FD6">
      <w:pPr>
        <w:ind w:left="-426"/>
        <w:jc w:val="both"/>
        <w:rPr>
          <w:rFonts w:eastAsia="Calibri"/>
          <w:sz w:val="18"/>
          <w:lang w:eastAsia="en-US" w:bidi="en-US"/>
        </w:rPr>
      </w:pPr>
    </w:p>
    <w:p w:rsidR="004669E3" w:rsidRDefault="00526481" w:rsidP="00C620A4">
      <w:pPr>
        <w:jc w:val="both"/>
        <w:rPr>
          <w:rFonts w:eastAsia="Calibri"/>
          <w:lang w:val="es-GT" w:eastAsia="en-US" w:bidi="en-US"/>
        </w:rPr>
      </w:pPr>
      <w:r>
        <w:rPr>
          <w:rFonts w:eastAsia="Calibri"/>
          <w:lang w:val="es-GT" w:eastAsia="en-US" w:bidi="en-US"/>
        </w:rPr>
        <w:lastRenderedPageBreak/>
        <w:t>L</w:t>
      </w:r>
      <w:r w:rsidR="00C44012">
        <w:rPr>
          <w:rFonts w:eastAsia="Calibri"/>
          <w:lang w:val="es-GT" w:eastAsia="en-US" w:bidi="en-US"/>
        </w:rPr>
        <w:t xml:space="preserve">a Comisión Presidencial de Gestión Pública Abierta y Transparencia (GPAT), </w:t>
      </w:r>
      <w:r>
        <w:rPr>
          <w:rFonts w:eastAsia="Calibri"/>
          <w:lang w:val="es-GT" w:eastAsia="en-US" w:bidi="en-US"/>
        </w:rPr>
        <w:t xml:space="preserve">creada mediante el Acuerdo Gubernativo No. 41-2018, es la entidad </w:t>
      </w:r>
      <w:r w:rsidR="00D97CCC">
        <w:rPr>
          <w:rFonts w:eastAsia="Calibri"/>
          <w:lang w:val="es-GT" w:eastAsia="en-US" w:bidi="en-US"/>
        </w:rPr>
        <w:t xml:space="preserve">pública </w:t>
      </w:r>
      <w:r>
        <w:rPr>
          <w:rFonts w:eastAsia="Calibri"/>
          <w:lang w:val="es-GT" w:eastAsia="en-US" w:bidi="en-US"/>
        </w:rPr>
        <w:t xml:space="preserve">encargada de coordinar y dar seguimiento a nivel del Organismo Ejecutivo, a las acciones de la Iniciativa de Gobierno Abierto </w:t>
      </w:r>
      <w:r w:rsidR="00D97CCC">
        <w:rPr>
          <w:rFonts w:eastAsia="Calibri"/>
          <w:lang w:val="es-GT" w:eastAsia="en-US" w:bidi="en-US"/>
        </w:rPr>
        <w:t xml:space="preserve">en Guatemala </w:t>
      </w:r>
      <w:r>
        <w:rPr>
          <w:rFonts w:eastAsia="Calibri"/>
          <w:lang w:val="es-GT" w:eastAsia="en-US" w:bidi="en-US"/>
        </w:rPr>
        <w:t xml:space="preserve">y al cumplimiento de los Planes de Acción </w:t>
      </w:r>
      <w:r w:rsidR="00D97CCC">
        <w:rPr>
          <w:rFonts w:eastAsia="Calibri"/>
          <w:lang w:val="es-GT" w:eastAsia="en-US" w:bidi="en-US"/>
        </w:rPr>
        <w:t>N</w:t>
      </w:r>
      <w:r>
        <w:rPr>
          <w:rFonts w:eastAsia="Calibri"/>
          <w:lang w:val="es-GT" w:eastAsia="en-US" w:bidi="en-US"/>
        </w:rPr>
        <w:t>acional de Gobierno Abierto</w:t>
      </w:r>
      <w:r w:rsidR="00D97CCC">
        <w:rPr>
          <w:rFonts w:eastAsia="Calibri"/>
          <w:lang w:val="es-GT" w:eastAsia="en-US" w:bidi="en-US"/>
        </w:rPr>
        <w:t xml:space="preserve">, teniendo también a su cargo los </w:t>
      </w:r>
      <w:r w:rsidR="00CA5005">
        <w:rPr>
          <w:rFonts w:eastAsia="Calibri"/>
          <w:lang w:val="es-GT" w:eastAsia="en-US" w:bidi="en-US"/>
        </w:rPr>
        <w:t xml:space="preserve">temas de gobierno electrónico, iniciativas de transparencia y mecanismos anticorrupción. </w:t>
      </w:r>
      <w:r w:rsidR="00D97CCC">
        <w:rPr>
          <w:rFonts w:eastAsia="Calibri"/>
          <w:lang w:val="es-GT" w:eastAsia="en-US" w:bidi="en-US"/>
        </w:rPr>
        <w:t xml:space="preserve">Por otra parte, dentro de la estructura orgánica del Ministerio de Finanzas Públicas </w:t>
      </w:r>
      <w:r w:rsidR="002958FB">
        <w:rPr>
          <w:rFonts w:eastAsia="Calibri"/>
          <w:lang w:val="es-GT" w:eastAsia="en-US" w:bidi="en-US"/>
        </w:rPr>
        <w:t xml:space="preserve">fue creado el </w:t>
      </w:r>
      <w:r w:rsidR="00673DC9">
        <w:rPr>
          <w:rFonts w:eastAsia="Calibri"/>
          <w:lang w:val="es-GT" w:eastAsia="en-US" w:bidi="en-US"/>
        </w:rPr>
        <w:t>Viceministerio de Transparencia Fiscal y Adquisiciones del Estado</w:t>
      </w:r>
      <w:r w:rsidR="002958FB">
        <w:rPr>
          <w:rFonts w:eastAsia="Calibri"/>
          <w:lang w:val="es-GT" w:eastAsia="en-US" w:bidi="en-US"/>
        </w:rPr>
        <w:t>, mediante</w:t>
      </w:r>
      <w:r w:rsidR="00673DC9">
        <w:rPr>
          <w:rFonts w:eastAsia="Calibri"/>
          <w:lang w:val="es-GT" w:eastAsia="en-US" w:bidi="en-US"/>
        </w:rPr>
        <w:t xml:space="preserve"> </w:t>
      </w:r>
      <w:r w:rsidR="002958FB" w:rsidRPr="002958FB">
        <w:rPr>
          <w:rFonts w:eastAsia="Calibri"/>
          <w:lang w:val="es-GT" w:eastAsia="en-US" w:bidi="en-US"/>
        </w:rPr>
        <w:t xml:space="preserve">el </w:t>
      </w:r>
      <w:r w:rsidR="002958FB">
        <w:rPr>
          <w:rFonts w:eastAsia="Calibri"/>
          <w:lang w:val="es-GT" w:eastAsia="en-US" w:bidi="en-US"/>
        </w:rPr>
        <w:t xml:space="preserve">Acuerdo Gubernativo No. 25-2018, situación que permite dar respuesta </w:t>
      </w:r>
      <w:r w:rsidR="004669E3">
        <w:rPr>
          <w:rFonts w:eastAsia="Calibri"/>
          <w:lang w:val="es-GT" w:eastAsia="en-US" w:bidi="en-US"/>
        </w:rPr>
        <w:t>a otro de los requerimientos de las organizaciones de sociedad civil</w:t>
      </w:r>
      <w:r w:rsidR="006D3045">
        <w:rPr>
          <w:rFonts w:eastAsia="Calibri"/>
          <w:lang w:val="es-GT" w:eastAsia="en-US" w:bidi="en-US"/>
        </w:rPr>
        <w:t>,</w:t>
      </w:r>
      <w:r w:rsidR="004669E3">
        <w:rPr>
          <w:rFonts w:eastAsia="Calibri"/>
          <w:lang w:val="es-GT" w:eastAsia="en-US" w:bidi="en-US"/>
        </w:rPr>
        <w:t xml:space="preserve"> que en su momento solicitaron la institucionalización de la agenda de transparencia fiscal dentro del Ministerio</w:t>
      </w:r>
      <w:r w:rsidR="00BC768D">
        <w:rPr>
          <w:rFonts w:eastAsia="Calibri"/>
          <w:lang w:val="es-GT" w:eastAsia="en-US" w:bidi="en-US"/>
        </w:rPr>
        <w:t xml:space="preserve"> de Finanzas Públicas</w:t>
      </w:r>
      <w:r w:rsidR="004669E3">
        <w:rPr>
          <w:rFonts w:eastAsia="Calibri"/>
          <w:lang w:val="es-GT" w:eastAsia="en-US" w:bidi="en-US"/>
        </w:rPr>
        <w:t>.</w:t>
      </w:r>
    </w:p>
    <w:p w:rsidR="002E0FD6" w:rsidRDefault="002E0FD6" w:rsidP="00C620A4">
      <w:pPr>
        <w:jc w:val="both"/>
        <w:rPr>
          <w:rFonts w:eastAsia="Calibri"/>
          <w:lang w:val="es-GT" w:eastAsia="en-US" w:bidi="en-US"/>
        </w:rPr>
      </w:pPr>
    </w:p>
    <w:p w:rsidR="00821DF9" w:rsidRPr="009F6AC2" w:rsidRDefault="004E6B51" w:rsidP="00821DF9">
      <w:pPr>
        <w:pStyle w:val="Ttulo2"/>
        <w:rPr>
          <w:rFonts w:ascii="Times New Roman" w:eastAsia="Calibri" w:hAnsi="Times New Roman"/>
          <w:color w:val="auto"/>
          <w:sz w:val="24"/>
          <w:szCs w:val="24"/>
          <w:lang w:val="es-GT" w:eastAsia="en-US" w:bidi="en-US"/>
        </w:rPr>
      </w:pPr>
      <w:bookmarkStart w:id="30" w:name="_Toc32829800"/>
      <w:r>
        <w:rPr>
          <w:rFonts w:ascii="Times New Roman" w:eastAsia="Calibri" w:hAnsi="Times New Roman"/>
          <w:color w:val="auto"/>
          <w:sz w:val="24"/>
          <w:szCs w:val="24"/>
          <w:lang w:val="es-GT" w:eastAsia="en-US" w:bidi="en-US"/>
        </w:rPr>
        <w:t xml:space="preserve">Institucionalización de </w:t>
      </w:r>
      <w:r w:rsidR="0021606F">
        <w:rPr>
          <w:rFonts w:ascii="Times New Roman" w:eastAsia="Calibri" w:hAnsi="Times New Roman"/>
          <w:color w:val="auto"/>
          <w:sz w:val="24"/>
          <w:szCs w:val="24"/>
          <w:lang w:val="es-GT" w:eastAsia="en-US" w:bidi="en-US"/>
        </w:rPr>
        <w:t xml:space="preserve">los </w:t>
      </w:r>
      <w:r w:rsidR="00821DF9">
        <w:rPr>
          <w:rFonts w:ascii="Times New Roman" w:eastAsia="Calibri" w:hAnsi="Times New Roman"/>
          <w:color w:val="auto"/>
          <w:sz w:val="24"/>
          <w:szCs w:val="24"/>
          <w:lang w:val="es-GT" w:eastAsia="en-US" w:bidi="en-US"/>
        </w:rPr>
        <w:t>Talleres de Presupuesto Abierto</w:t>
      </w:r>
      <w:bookmarkEnd w:id="30"/>
    </w:p>
    <w:p w:rsidR="00821DF9" w:rsidRDefault="00821DF9" w:rsidP="00C620A4">
      <w:pPr>
        <w:jc w:val="both"/>
        <w:rPr>
          <w:rFonts w:eastAsia="Calibri"/>
          <w:lang w:val="es-GT" w:eastAsia="en-US" w:bidi="en-US"/>
        </w:rPr>
      </w:pPr>
    </w:p>
    <w:p w:rsidR="004E6B51" w:rsidRDefault="00CF194A" w:rsidP="00C620A4">
      <w:pPr>
        <w:jc w:val="both"/>
        <w:rPr>
          <w:rFonts w:eastAsia="Calibri"/>
          <w:lang w:val="es-GT" w:eastAsia="en-US" w:bidi="en-US"/>
        </w:rPr>
      </w:pPr>
      <w:r>
        <w:rPr>
          <w:rFonts w:eastAsia="Calibri"/>
          <w:lang w:val="es-GT" w:eastAsia="en-US" w:bidi="en-US"/>
        </w:rPr>
        <w:t>A partir del año 2017, p</w:t>
      </w:r>
      <w:r w:rsidR="004E6B51" w:rsidRPr="004E6B51">
        <w:rPr>
          <w:rFonts w:eastAsia="Calibri"/>
          <w:lang w:val="es-GT" w:eastAsia="en-US" w:bidi="en-US"/>
        </w:rPr>
        <w:t>or medio del Acuerdo Ministerial No. 194-2017 se institucionaliz</w:t>
      </w:r>
      <w:r>
        <w:rPr>
          <w:rFonts w:eastAsia="Calibri"/>
          <w:lang w:val="es-GT" w:eastAsia="en-US" w:bidi="en-US"/>
        </w:rPr>
        <w:t>ó</w:t>
      </w:r>
      <w:r w:rsidR="004E6B51" w:rsidRPr="004E6B51">
        <w:rPr>
          <w:rFonts w:eastAsia="Calibri"/>
          <w:lang w:val="es-GT" w:eastAsia="en-US" w:bidi="en-US"/>
        </w:rPr>
        <w:t xml:space="preserve"> durante la etapa de formulación del Proyecto de Presupuesto General de Ingresos y Egresos del Estado, la realización de Talleres de Presupuesto Abierto para propiciar la participación y colaboración de organizaciones de la sociedad civil </w:t>
      </w:r>
      <w:r w:rsidR="00F53A5D">
        <w:rPr>
          <w:rFonts w:eastAsia="Calibri"/>
          <w:lang w:val="es-GT" w:eastAsia="en-US" w:bidi="en-US"/>
        </w:rPr>
        <w:t>y ciudadanos en general en</w:t>
      </w:r>
      <w:r w:rsidR="004E6B51" w:rsidRPr="004E6B51">
        <w:rPr>
          <w:rFonts w:eastAsia="Calibri"/>
          <w:lang w:val="es-GT" w:eastAsia="en-US" w:bidi="en-US"/>
        </w:rPr>
        <w:t xml:space="preserve"> dicho proceso. </w:t>
      </w:r>
      <w:r w:rsidR="00D20B55">
        <w:rPr>
          <w:rFonts w:eastAsia="Calibri"/>
          <w:lang w:val="es-GT" w:eastAsia="en-US" w:bidi="en-US"/>
        </w:rPr>
        <w:t xml:space="preserve">Durante los meses de </w:t>
      </w:r>
      <w:r>
        <w:rPr>
          <w:rFonts w:eastAsia="Calibri"/>
          <w:lang w:val="es-GT" w:eastAsia="en-US" w:bidi="en-US"/>
        </w:rPr>
        <w:t>junio y julio de 2019</w:t>
      </w:r>
      <w:r w:rsidR="00D20B55">
        <w:rPr>
          <w:rFonts w:eastAsia="Calibri"/>
          <w:lang w:val="es-GT" w:eastAsia="en-US" w:bidi="en-US"/>
        </w:rPr>
        <w:t>,</w:t>
      </w:r>
      <w:r w:rsidR="004E6B51" w:rsidRPr="004E6B51">
        <w:rPr>
          <w:rFonts w:eastAsia="Calibri"/>
          <w:lang w:val="es-GT" w:eastAsia="en-US" w:bidi="en-US"/>
        </w:rPr>
        <w:t xml:space="preserve"> se realiza</w:t>
      </w:r>
      <w:r w:rsidR="00D20B55">
        <w:rPr>
          <w:rFonts w:eastAsia="Calibri"/>
          <w:lang w:val="es-GT" w:eastAsia="en-US" w:bidi="en-US"/>
        </w:rPr>
        <w:t>ron</w:t>
      </w:r>
      <w:r w:rsidR="004E6B51" w:rsidRPr="004E6B51">
        <w:rPr>
          <w:rFonts w:eastAsia="Calibri"/>
          <w:lang w:val="es-GT" w:eastAsia="en-US" w:bidi="en-US"/>
        </w:rPr>
        <w:t xml:space="preserve"> talleres para dar a conocer y discutir sobre las variables macroeconómicas y proyecciones de ingresos tributarios</w:t>
      </w:r>
      <w:r w:rsidR="004E6B51">
        <w:rPr>
          <w:rFonts w:eastAsia="Calibri"/>
          <w:lang w:val="es-GT" w:eastAsia="en-US" w:bidi="en-US"/>
        </w:rPr>
        <w:t xml:space="preserve"> a cargo del Banco de Guatemala, Superintendencia de Administración Tributaria (SAT) y Ministerio de Finanzas Públicas</w:t>
      </w:r>
      <w:r w:rsidR="004E6B51" w:rsidRPr="004E6B51">
        <w:rPr>
          <w:rFonts w:eastAsia="Calibri"/>
          <w:lang w:val="es-GT" w:eastAsia="en-US" w:bidi="en-US"/>
        </w:rPr>
        <w:t>;</w:t>
      </w:r>
      <w:r w:rsidR="00025229">
        <w:rPr>
          <w:rFonts w:eastAsia="Calibri"/>
          <w:lang w:val="es-GT" w:eastAsia="en-US" w:bidi="en-US"/>
        </w:rPr>
        <w:t xml:space="preserve"> se realiza</w:t>
      </w:r>
      <w:r w:rsidR="00D20B55">
        <w:rPr>
          <w:rFonts w:eastAsia="Calibri"/>
          <w:lang w:val="es-GT" w:eastAsia="en-US" w:bidi="en-US"/>
        </w:rPr>
        <w:t>ro</w:t>
      </w:r>
      <w:r w:rsidR="00025229">
        <w:rPr>
          <w:rFonts w:eastAsia="Calibri"/>
          <w:lang w:val="es-GT" w:eastAsia="en-US" w:bidi="en-US"/>
        </w:rPr>
        <w:t xml:space="preserve">n talleres </w:t>
      </w:r>
      <w:r w:rsidR="004E6B51" w:rsidRPr="004E6B51">
        <w:rPr>
          <w:rFonts w:eastAsia="Calibri"/>
          <w:lang w:val="es-GT" w:eastAsia="en-US" w:bidi="en-US"/>
        </w:rPr>
        <w:t>para conocer los planes, programas</w:t>
      </w:r>
      <w:r w:rsidR="00025229">
        <w:rPr>
          <w:rFonts w:eastAsia="Calibri"/>
          <w:lang w:val="es-GT" w:eastAsia="en-US" w:bidi="en-US"/>
        </w:rPr>
        <w:t>,</w:t>
      </w:r>
      <w:r w:rsidR="004E6B51" w:rsidRPr="004E6B51">
        <w:rPr>
          <w:rFonts w:eastAsia="Calibri"/>
          <w:lang w:val="es-GT" w:eastAsia="en-US" w:bidi="en-US"/>
        </w:rPr>
        <w:t xml:space="preserve"> proyectos</w:t>
      </w:r>
      <w:r w:rsidR="00025229">
        <w:rPr>
          <w:rFonts w:eastAsia="Calibri"/>
          <w:lang w:val="es-GT" w:eastAsia="en-US" w:bidi="en-US"/>
        </w:rPr>
        <w:t xml:space="preserve"> y techos presupuestarios</w:t>
      </w:r>
      <w:r w:rsidR="004E6B51" w:rsidRPr="004E6B51">
        <w:rPr>
          <w:rFonts w:eastAsia="Calibri"/>
          <w:lang w:val="es-GT" w:eastAsia="en-US" w:bidi="en-US"/>
        </w:rPr>
        <w:t xml:space="preserve"> institucionales</w:t>
      </w:r>
      <w:r w:rsidR="00025229">
        <w:rPr>
          <w:rFonts w:eastAsia="Calibri"/>
          <w:lang w:val="es-GT" w:eastAsia="en-US" w:bidi="en-US"/>
        </w:rPr>
        <w:t xml:space="preserve">. Además, se </w:t>
      </w:r>
      <w:r w:rsidR="00D20B55">
        <w:rPr>
          <w:rFonts w:eastAsia="Calibri"/>
          <w:lang w:val="es-GT" w:eastAsia="en-US" w:bidi="en-US"/>
        </w:rPr>
        <w:t>efectuaron</w:t>
      </w:r>
      <w:r w:rsidR="00025229">
        <w:rPr>
          <w:rFonts w:eastAsia="Calibri"/>
          <w:lang w:val="es-GT" w:eastAsia="en-US" w:bidi="en-US"/>
        </w:rPr>
        <w:t xml:space="preserve"> talleres complementarios al proceso de formulación, tales como:</w:t>
      </w:r>
      <w:r w:rsidR="004E6B51" w:rsidRPr="004E6B51">
        <w:rPr>
          <w:rFonts w:eastAsia="Calibri"/>
          <w:lang w:val="es-GT" w:eastAsia="en-US" w:bidi="en-US"/>
        </w:rPr>
        <w:t xml:space="preserve"> </w:t>
      </w:r>
      <w:r w:rsidR="00025229">
        <w:rPr>
          <w:rFonts w:eastAsia="Calibri"/>
          <w:lang w:val="es-GT" w:eastAsia="en-US" w:bidi="en-US"/>
        </w:rPr>
        <w:t xml:space="preserve">sobre </w:t>
      </w:r>
      <w:r w:rsidR="004E6B51" w:rsidRPr="004E6B51">
        <w:rPr>
          <w:rFonts w:eastAsia="Calibri"/>
          <w:lang w:val="es-GT" w:eastAsia="en-US" w:bidi="en-US"/>
        </w:rPr>
        <w:t>análisis de riesgos fiscales; para discutir sobre el Listado Geográfico de Obras</w:t>
      </w:r>
      <w:r w:rsidR="0021606F">
        <w:rPr>
          <w:rFonts w:eastAsia="Calibri"/>
          <w:lang w:val="es-GT" w:eastAsia="en-US" w:bidi="en-US"/>
        </w:rPr>
        <w:t>; sobre</w:t>
      </w:r>
      <w:r w:rsidR="004E6B51" w:rsidRPr="004E6B51">
        <w:rPr>
          <w:rFonts w:eastAsia="Calibri"/>
          <w:lang w:val="es-GT" w:eastAsia="en-US" w:bidi="en-US"/>
        </w:rPr>
        <w:t xml:space="preserve"> aportes a Organizaciones No Gubernamentales y </w:t>
      </w:r>
      <w:r w:rsidR="0021606F">
        <w:rPr>
          <w:rFonts w:eastAsia="Calibri"/>
          <w:lang w:val="es-GT" w:eastAsia="en-US" w:bidi="en-US"/>
        </w:rPr>
        <w:t xml:space="preserve">sobre </w:t>
      </w:r>
      <w:r w:rsidR="004E6B51" w:rsidRPr="004E6B51">
        <w:rPr>
          <w:rFonts w:eastAsia="Calibri"/>
          <w:lang w:val="es-GT" w:eastAsia="en-US" w:bidi="en-US"/>
        </w:rPr>
        <w:t>normas de transparencia y calidad del gasto público a incluir en la iniciativa de Ley Anual del Presupuesto</w:t>
      </w:r>
      <w:r w:rsidR="00D20B55">
        <w:rPr>
          <w:rFonts w:eastAsia="Calibri"/>
          <w:lang w:val="es-GT" w:eastAsia="en-US" w:bidi="en-US"/>
        </w:rPr>
        <w:t xml:space="preserve"> de 20</w:t>
      </w:r>
      <w:r>
        <w:rPr>
          <w:rFonts w:eastAsia="Calibri"/>
          <w:lang w:val="es-GT" w:eastAsia="en-US" w:bidi="en-US"/>
        </w:rPr>
        <w:t>20</w:t>
      </w:r>
      <w:r w:rsidR="00025229">
        <w:rPr>
          <w:rFonts w:eastAsia="Calibri"/>
          <w:lang w:val="es-GT" w:eastAsia="en-US" w:bidi="en-US"/>
        </w:rPr>
        <w:t>.</w:t>
      </w:r>
    </w:p>
    <w:p w:rsidR="004E6B51" w:rsidRDefault="004E6B51" w:rsidP="00C620A4">
      <w:pPr>
        <w:jc w:val="both"/>
        <w:rPr>
          <w:rFonts w:eastAsia="Calibri"/>
          <w:lang w:val="es-GT" w:eastAsia="en-US" w:bidi="en-US"/>
        </w:rPr>
      </w:pPr>
    </w:p>
    <w:p w:rsidR="00C620A4" w:rsidRPr="00D12482" w:rsidRDefault="00D12482" w:rsidP="00D12482">
      <w:pPr>
        <w:pStyle w:val="Ttulo2"/>
        <w:rPr>
          <w:rFonts w:ascii="Times New Roman" w:eastAsia="Calibri" w:hAnsi="Times New Roman"/>
          <w:color w:val="auto"/>
          <w:sz w:val="24"/>
          <w:szCs w:val="24"/>
          <w:lang w:val="es-GT" w:eastAsia="en-US" w:bidi="en-US"/>
        </w:rPr>
      </w:pPr>
      <w:bookmarkStart w:id="31" w:name="_Toc32829801"/>
      <w:r>
        <w:rPr>
          <w:rFonts w:ascii="Times New Roman" w:eastAsia="Calibri" w:hAnsi="Times New Roman"/>
          <w:color w:val="auto"/>
          <w:sz w:val="24"/>
          <w:szCs w:val="24"/>
          <w:lang w:val="es-GT" w:eastAsia="en-US" w:bidi="en-US"/>
        </w:rPr>
        <w:t>Mejora en la Calificación del Índice de Presupuesto Abierto (OBI)</w:t>
      </w:r>
      <w:bookmarkEnd w:id="31"/>
    </w:p>
    <w:p w:rsidR="00C620A4" w:rsidRDefault="00C620A4" w:rsidP="00C620A4">
      <w:pPr>
        <w:jc w:val="both"/>
        <w:rPr>
          <w:rFonts w:eastAsia="Calibri"/>
          <w:lang w:val="es-GT" w:eastAsia="en-US" w:bidi="en-US"/>
        </w:rPr>
      </w:pPr>
    </w:p>
    <w:p w:rsidR="00C620A4" w:rsidRDefault="00DD7FEC" w:rsidP="00C620A4">
      <w:pPr>
        <w:jc w:val="both"/>
        <w:rPr>
          <w:rFonts w:eastAsia="Calibri"/>
          <w:lang w:val="es-GT" w:eastAsia="en-US" w:bidi="en-US"/>
        </w:rPr>
      </w:pPr>
      <w:r w:rsidRPr="00C157EE">
        <w:t xml:space="preserve">En la penúltima evaluación de la International Budget Partnership (IBP), Guatemala obtuvo una calificación de 46 puntos en el Índice de Presupuesto Abierto (OBI). Luego de haber normado e institucionalizado este proceso </w:t>
      </w:r>
      <w:r w:rsidR="00201D05">
        <w:t>con</w:t>
      </w:r>
      <w:r w:rsidRPr="00C157EE">
        <w:t xml:space="preserve"> </w:t>
      </w:r>
      <w:r w:rsidR="00201D05">
        <w:t>el</w:t>
      </w:r>
      <w:r w:rsidRPr="00C157EE">
        <w:t xml:space="preserve"> Acuerdo Ministerial No. 194-2017, en la calificación presentada </w:t>
      </w:r>
      <w:r w:rsidR="00201D05">
        <w:t>a finales de</w:t>
      </w:r>
      <w:r w:rsidRPr="00C157EE">
        <w:t xml:space="preserve"> enero de 2018 por parte del ente evaluador, se obtuvo una calificación de 61 puntos que sitúa a Guatemala en el quinto lugar a nivel de América Latina, permitiendo también mejorar en el ranking mundial. Esta normativa de observancia general para las dependencias del </w:t>
      </w:r>
      <w:r w:rsidR="00201D05">
        <w:t xml:space="preserve">citado Ministerio </w:t>
      </w:r>
      <w:r w:rsidRPr="00C157EE">
        <w:t>a cargo de la elaboración y publicación de los 8 documentos clave del ciclo presupuestario que evalúa el Índice de Presupuesto Abierto, regula que se tomen en consideración los estándares y lineamientos contenidos en la Guía para la Transparencia en los Documentos Presupuestarios del Gobierno y en la Encuesta de Presupuesto Abierto, ambos emitidos por la International Budget Partnership (IBP</w:t>
      </w:r>
      <w:r>
        <w:t>)</w:t>
      </w:r>
      <w:r w:rsidR="00A07C18">
        <w:t>, así como la fecha límite para su publicación en las páginas web institucionales</w:t>
      </w:r>
      <w:r>
        <w:t>.</w:t>
      </w:r>
      <w:r w:rsidR="00C620A4">
        <w:rPr>
          <w:rFonts w:eastAsia="Calibri"/>
          <w:lang w:val="es-GT" w:eastAsia="en-US" w:bidi="en-US"/>
        </w:rPr>
        <w:t xml:space="preserve"> Dicho resultado fue oficialmente notificado por parte del Centro Internacional de Investigaciones en Derechos Humanos (CIIDH), que es el ente independiente de sociedad civil que realiza en el país </w:t>
      </w:r>
      <w:r w:rsidR="005B4A2B">
        <w:rPr>
          <w:rFonts w:eastAsia="Calibri"/>
          <w:lang w:val="es-GT" w:eastAsia="en-US" w:bidi="en-US"/>
        </w:rPr>
        <w:t>la citada</w:t>
      </w:r>
      <w:r w:rsidR="00C620A4">
        <w:rPr>
          <w:rFonts w:eastAsia="Calibri"/>
          <w:lang w:val="es-GT" w:eastAsia="en-US" w:bidi="en-US"/>
        </w:rPr>
        <w:t xml:space="preserve"> evaluación.</w:t>
      </w:r>
    </w:p>
    <w:p w:rsidR="00CC3F10" w:rsidRDefault="00CC3F10" w:rsidP="00C620A4">
      <w:pPr>
        <w:jc w:val="both"/>
        <w:rPr>
          <w:rFonts w:eastAsia="Calibri"/>
          <w:lang w:val="es-GT" w:eastAsia="en-US" w:bidi="en-US"/>
        </w:rPr>
      </w:pPr>
    </w:p>
    <w:p w:rsidR="00171DBC" w:rsidRDefault="00171DBC" w:rsidP="00C620A4">
      <w:pPr>
        <w:jc w:val="both"/>
        <w:rPr>
          <w:rFonts w:eastAsia="Calibri"/>
          <w:lang w:val="es-GT" w:eastAsia="en-US" w:bidi="en-US"/>
        </w:rPr>
      </w:pPr>
      <w:r>
        <w:rPr>
          <w:rFonts w:eastAsia="Calibri"/>
          <w:lang w:val="es-GT" w:eastAsia="en-US" w:bidi="en-US"/>
        </w:rPr>
        <w:t>Durante el mes de julio de 2019, el Ministerio de Finanzas Públicas, por conducto de la Dirección de Transparencia Fiscal</w:t>
      </w:r>
      <w:r w:rsidR="00280A6A">
        <w:rPr>
          <w:rFonts w:eastAsia="Calibri"/>
          <w:lang w:val="es-GT" w:eastAsia="en-US" w:bidi="en-US"/>
        </w:rPr>
        <w:t xml:space="preserve"> elaboró y publicó un Informe de Autoevaluación sobre el Índice de Presupuesto Abierto (OBI), con la finalidad de estimar cuál podría ser la calificación para Guatemala en la próxima evaluación</w:t>
      </w:r>
      <w:r w:rsidR="00264FBA">
        <w:rPr>
          <w:rFonts w:eastAsia="Calibri"/>
          <w:lang w:val="es-GT" w:eastAsia="en-US" w:bidi="en-US"/>
        </w:rPr>
        <w:t xml:space="preserve"> que realiza el revisor independiente</w:t>
      </w:r>
      <w:r w:rsidR="005B56C5">
        <w:rPr>
          <w:rFonts w:eastAsia="Calibri"/>
          <w:lang w:val="es-GT" w:eastAsia="en-US" w:bidi="en-US"/>
        </w:rPr>
        <w:t>. Las expectativas del M</w:t>
      </w:r>
      <w:r w:rsidR="009B750C">
        <w:rPr>
          <w:rFonts w:eastAsia="Calibri"/>
          <w:lang w:val="es-GT" w:eastAsia="en-US" w:bidi="en-US"/>
        </w:rPr>
        <w:t>inisterio de Finanzas Públicas</w:t>
      </w:r>
      <w:r w:rsidR="005B56C5">
        <w:rPr>
          <w:rFonts w:eastAsia="Calibri"/>
          <w:lang w:val="es-GT" w:eastAsia="en-US" w:bidi="en-US"/>
        </w:rPr>
        <w:t xml:space="preserve"> es obtener una nota superior a la última evaluación,</w:t>
      </w:r>
      <w:r w:rsidR="00280A6A">
        <w:rPr>
          <w:rFonts w:eastAsia="Calibri"/>
          <w:lang w:val="es-GT" w:eastAsia="en-US" w:bidi="en-US"/>
        </w:rPr>
        <w:t xml:space="preserve"> tomando en consideración que se han realizado serios esfuerzos </w:t>
      </w:r>
      <w:r w:rsidR="00221DC9">
        <w:rPr>
          <w:rFonts w:eastAsia="Calibri"/>
          <w:lang w:val="es-GT" w:eastAsia="en-US" w:bidi="en-US"/>
        </w:rPr>
        <w:t xml:space="preserve">y </w:t>
      </w:r>
      <w:r w:rsidR="00264FBA">
        <w:rPr>
          <w:rFonts w:eastAsia="Calibri"/>
          <w:lang w:val="es-GT" w:eastAsia="en-US" w:bidi="en-US"/>
        </w:rPr>
        <w:t>s</w:t>
      </w:r>
      <w:r w:rsidR="00221DC9">
        <w:rPr>
          <w:rFonts w:eastAsia="Calibri"/>
          <w:lang w:val="es-GT" w:eastAsia="en-US" w:bidi="en-US"/>
        </w:rPr>
        <w:t xml:space="preserve">e han </w:t>
      </w:r>
      <w:r w:rsidR="004F5766">
        <w:rPr>
          <w:rFonts w:eastAsia="Calibri"/>
          <w:lang w:val="es-GT" w:eastAsia="en-US" w:bidi="en-US"/>
        </w:rPr>
        <w:t>desarrollado</w:t>
      </w:r>
      <w:r w:rsidR="00221DC9">
        <w:rPr>
          <w:rFonts w:eastAsia="Calibri"/>
          <w:lang w:val="es-GT" w:eastAsia="en-US" w:bidi="en-US"/>
        </w:rPr>
        <w:t xml:space="preserve"> buenas prácticas adicionales </w:t>
      </w:r>
      <w:r w:rsidR="00280A6A">
        <w:rPr>
          <w:rFonts w:eastAsia="Calibri"/>
          <w:lang w:val="es-GT" w:eastAsia="en-US" w:bidi="en-US"/>
        </w:rPr>
        <w:t>para ajustar los 8 documentos clave del ciclo presupuestario que evalúa dicho índice</w:t>
      </w:r>
      <w:r w:rsidR="0061008A">
        <w:rPr>
          <w:rFonts w:eastAsia="Calibri"/>
          <w:lang w:val="es-GT" w:eastAsia="en-US" w:bidi="en-US"/>
        </w:rPr>
        <w:t>, de conformidad con los lineamientos definidos por la Alianza Internacional de Presupuesto (IBP por sus siglas en inglés)</w:t>
      </w:r>
      <w:r w:rsidR="005B56C5">
        <w:rPr>
          <w:rFonts w:eastAsia="Calibri"/>
          <w:lang w:val="es-GT" w:eastAsia="en-US" w:bidi="en-US"/>
        </w:rPr>
        <w:t xml:space="preserve">, así como publicar </w:t>
      </w:r>
      <w:r w:rsidR="00221DC9">
        <w:rPr>
          <w:rFonts w:eastAsia="Calibri"/>
          <w:lang w:val="es-GT" w:eastAsia="en-US" w:bidi="en-US"/>
        </w:rPr>
        <w:t>dichos documentos</w:t>
      </w:r>
      <w:r w:rsidR="005B56C5">
        <w:rPr>
          <w:rFonts w:eastAsia="Calibri"/>
          <w:lang w:val="es-GT" w:eastAsia="en-US" w:bidi="en-US"/>
        </w:rPr>
        <w:t xml:space="preserve"> en las fechas definidas</w:t>
      </w:r>
      <w:r w:rsidR="00264FBA">
        <w:rPr>
          <w:rFonts w:eastAsia="Calibri"/>
          <w:lang w:val="es-GT" w:eastAsia="en-US" w:bidi="en-US"/>
        </w:rPr>
        <w:t xml:space="preserve"> por dicho organismo internacional.</w:t>
      </w:r>
    </w:p>
    <w:p w:rsidR="00E830E6" w:rsidRDefault="00E830E6" w:rsidP="00C620A4">
      <w:pPr>
        <w:jc w:val="both"/>
        <w:rPr>
          <w:rFonts w:eastAsia="Calibri"/>
          <w:lang w:val="es-GT" w:eastAsia="en-US" w:bidi="en-US"/>
        </w:rPr>
      </w:pPr>
    </w:p>
    <w:p w:rsidR="00E830E6" w:rsidRDefault="00E830E6" w:rsidP="00C620A4">
      <w:pPr>
        <w:jc w:val="both"/>
        <w:rPr>
          <w:rFonts w:eastAsia="Calibri"/>
          <w:lang w:val="es-GT" w:eastAsia="en-US" w:bidi="en-US"/>
        </w:rPr>
      </w:pPr>
      <w:r>
        <w:t>En ese sentido, la autoevaluación realizada por la Dirección de Transparencia Fiscal a los siete documentos clave del ciclo presupuestario que han sido elaborados entre 2018 y 2019 por parte del MINFIN (Proyecto de Presupuesto, Informe Preliminar, Presupuesto Aprobado, Presupuesto Ciudadano, Informes Mensuales, Revisión de Mitad de Año e Informe de Fin de Año</w:t>
      </w:r>
      <w:r w:rsidR="00E05452">
        <w:t>; l</w:t>
      </w:r>
      <w:r>
        <w:t>a liquidación y cierre contable lo realiza la Contraloría General de Cuentas), persigue obtener una aproximación de cuál podría ser la calificación que se obtenga por parte de la Iniciativa Internacional de Presupuesto</w:t>
      </w:r>
      <w:r w:rsidR="00E05452">
        <w:t xml:space="preserve"> (IBP)</w:t>
      </w:r>
      <w:r>
        <w:t xml:space="preserve"> por conducto del ente evaluador independiente que en Guatemala corresponde a la organización de sociedad civil denominada Centro Internacional de Investigaciones en Derechos Humanos (CIIDH), considerando los dos parámetros de la evaluación: la fecha de publicación de los documentos en la página web institucional y el cumplimiento de los lineamientos y estándares en cada uno de los documentos presupuestarios.</w:t>
      </w:r>
    </w:p>
    <w:p w:rsidR="00C620A4" w:rsidRDefault="00C620A4" w:rsidP="00C620A4">
      <w:pPr>
        <w:jc w:val="both"/>
        <w:rPr>
          <w:rFonts w:eastAsia="Calibri"/>
          <w:lang w:val="es-GT" w:eastAsia="en-US" w:bidi="en-US"/>
        </w:rPr>
      </w:pPr>
    </w:p>
    <w:p w:rsidR="00CC3F10" w:rsidRDefault="00CC3F10" w:rsidP="00C620A4">
      <w:pPr>
        <w:jc w:val="both"/>
        <w:rPr>
          <w:rFonts w:eastAsia="Calibri"/>
          <w:lang w:val="es-GT" w:eastAsia="en-US" w:bidi="en-US"/>
        </w:rPr>
      </w:pPr>
    </w:p>
    <w:p w:rsidR="00DD7FEC" w:rsidRPr="0061795D" w:rsidRDefault="0061795D" w:rsidP="0061795D">
      <w:pPr>
        <w:pStyle w:val="Ttulo2"/>
        <w:jc w:val="both"/>
        <w:rPr>
          <w:rFonts w:ascii="Times New Roman" w:eastAsia="Calibri" w:hAnsi="Times New Roman"/>
          <w:color w:val="auto"/>
          <w:sz w:val="24"/>
          <w:szCs w:val="24"/>
          <w:lang w:val="es-GT" w:eastAsia="en-US" w:bidi="en-US"/>
        </w:rPr>
      </w:pPr>
      <w:bookmarkStart w:id="32" w:name="_Toc32829802"/>
      <w:r w:rsidRPr="0061795D">
        <w:rPr>
          <w:rFonts w:ascii="Times New Roman" w:eastAsia="Calibri" w:hAnsi="Times New Roman"/>
          <w:color w:val="auto"/>
          <w:sz w:val="24"/>
          <w:szCs w:val="24"/>
          <w:lang w:val="es-GT" w:eastAsia="en-US" w:bidi="en-US"/>
        </w:rPr>
        <w:t xml:space="preserve">Lanzamiento del </w:t>
      </w:r>
      <w:r w:rsidR="00264FBA">
        <w:rPr>
          <w:rFonts w:ascii="Times New Roman" w:eastAsia="Calibri" w:hAnsi="Times New Roman"/>
          <w:color w:val="auto"/>
          <w:sz w:val="24"/>
          <w:szCs w:val="24"/>
          <w:lang w:val="es-GT" w:eastAsia="en-US" w:bidi="en-US"/>
        </w:rPr>
        <w:t>Sistema de Transferencias, Subsidios y Subvenciones</w:t>
      </w:r>
      <w:r w:rsidR="00D52CB4">
        <w:rPr>
          <w:rFonts w:ascii="Times New Roman" w:eastAsia="Calibri" w:hAnsi="Times New Roman"/>
          <w:color w:val="auto"/>
          <w:sz w:val="24"/>
          <w:szCs w:val="24"/>
          <w:lang w:val="es-GT" w:eastAsia="en-US" w:bidi="en-US"/>
        </w:rPr>
        <w:t xml:space="preserve"> (TSS)</w:t>
      </w:r>
      <w:bookmarkEnd w:id="32"/>
    </w:p>
    <w:p w:rsidR="00DD7FEC" w:rsidRDefault="00DD7FEC" w:rsidP="00C620A4">
      <w:pPr>
        <w:jc w:val="both"/>
        <w:rPr>
          <w:rFonts w:eastAsia="Calibri"/>
          <w:lang w:val="es-GT" w:eastAsia="en-US" w:bidi="en-US"/>
        </w:rPr>
      </w:pPr>
    </w:p>
    <w:p w:rsidR="000C3C34" w:rsidRDefault="0080122D" w:rsidP="00C620A4">
      <w:pPr>
        <w:jc w:val="both"/>
        <w:rPr>
          <w:lang w:val="es-ES_tradnl"/>
        </w:rPr>
      </w:pPr>
      <w:r>
        <w:rPr>
          <w:lang w:val="es-ES_tradnl"/>
        </w:rPr>
        <w:t>Dentro del Presupuesto General de Ingresos y Egresos del Estado de cada ejercicio fiscal, se programan asignaciones por concepto de transferencias corrientes y/o de capital a favor de entidades del sector privado y de organismos regionales e internacionales</w:t>
      </w:r>
      <w:r w:rsidR="00D52CB4">
        <w:rPr>
          <w:lang w:val="es-ES_tradnl"/>
        </w:rPr>
        <w:t xml:space="preserve">; por lo que, de </w:t>
      </w:r>
      <w:r>
        <w:rPr>
          <w:lang w:val="es-ES_tradnl"/>
        </w:rPr>
        <w:t>conformidad con</w:t>
      </w:r>
      <w:r w:rsidR="00777FAB">
        <w:rPr>
          <w:lang w:val="es-ES_tradnl"/>
        </w:rPr>
        <w:t xml:space="preserve"> lo que regula</w:t>
      </w:r>
      <w:r>
        <w:rPr>
          <w:lang w:val="es-ES_tradnl"/>
        </w:rPr>
        <w:t xml:space="preserve"> la Ley Orgánica del Presupuesto, Decreto No. 101-97 del Congreso de la República y </w:t>
      </w:r>
      <w:r w:rsidR="00777FAB">
        <w:rPr>
          <w:lang w:val="es-ES_tradnl"/>
        </w:rPr>
        <w:t>lo establecido en el</w:t>
      </w:r>
      <w:r>
        <w:rPr>
          <w:lang w:val="es-ES_tradnl"/>
        </w:rPr>
        <w:t xml:space="preserve"> Reglamento de Manejo de Subsidios y Subvenciones, </w:t>
      </w:r>
      <w:r w:rsidR="00777FAB">
        <w:rPr>
          <w:lang w:val="es-ES_tradnl"/>
        </w:rPr>
        <w:t xml:space="preserve">aprobado mediante el </w:t>
      </w:r>
      <w:r>
        <w:rPr>
          <w:lang w:val="es-ES_tradnl"/>
        </w:rPr>
        <w:t xml:space="preserve">Acuerdo Gubernativo No. 55-2016, tanto las entidades públicas otorgantes de los recursos, como las entidades receptoras de los mismos, deben presentar informes mensuales de avance físico y financiero destacando los objetivos, metas, resultados, indicadores, impactos y beneficiarios atendidos con tales intervenciones públicas. En ese sentido, en el primer semestre de 2019 se concluyó el diseño e implementación del Sistema de Transferencias, Subsidios y Subvenciones (TSS) y </w:t>
      </w:r>
      <w:r w:rsidR="000A15FF">
        <w:rPr>
          <w:lang w:val="es-ES_tradnl"/>
        </w:rPr>
        <w:t xml:space="preserve">por parte de la Dirección de Transparencia Fiscal del MINFIN, </w:t>
      </w:r>
      <w:r>
        <w:rPr>
          <w:lang w:val="es-ES_tradnl"/>
        </w:rPr>
        <w:t>se procedió a capacitar a las instituciones públicas que otorgan recursos del Estado en concepto de transferencias corrientes y de capital</w:t>
      </w:r>
      <w:r w:rsidR="000A15FF">
        <w:rPr>
          <w:lang w:val="es-ES_tradnl"/>
        </w:rPr>
        <w:t xml:space="preserve"> (Ministerios de Estado, Secretarías y otras dependencias del Organismo Ejecutivo, entidades descentralizadas y autónomas)</w:t>
      </w:r>
      <w:r>
        <w:rPr>
          <w:lang w:val="es-ES_tradnl"/>
        </w:rPr>
        <w:t>. Asimismo, cada entidad pública</w:t>
      </w:r>
      <w:r w:rsidR="007448F8">
        <w:rPr>
          <w:lang w:val="es-ES_tradnl"/>
        </w:rPr>
        <w:t xml:space="preserve">, </w:t>
      </w:r>
      <w:r w:rsidR="000C3C34">
        <w:rPr>
          <w:lang w:val="es-ES_tradnl"/>
        </w:rPr>
        <w:t>en varias ocasiones</w:t>
      </w:r>
      <w:r w:rsidR="007448F8">
        <w:rPr>
          <w:lang w:val="es-ES_tradnl"/>
        </w:rPr>
        <w:t xml:space="preserve"> con el acompañamiento del MINFIN, </w:t>
      </w:r>
      <w:r>
        <w:rPr>
          <w:lang w:val="es-ES_tradnl"/>
        </w:rPr>
        <w:t>capacit</w:t>
      </w:r>
      <w:r w:rsidR="00D52CB4">
        <w:rPr>
          <w:lang w:val="es-ES_tradnl"/>
        </w:rPr>
        <w:t>ó</w:t>
      </w:r>
      <w:r>
        <w:rPr>
          <w:lang w:val="es-ES_tradnl"/>
        </w:rPr>
        <w:t xml:space="preserve"> sobre el uso y funcionamiento de dicho Sistema a sus entidades receptoras</w:t>
      </w:r>
      <w:r w:rsidR="000C3C34">
        <w:rPr>
          <w:lang w:val="es-ES_tradnl"/>
        </w:rPr>
        <w:t>, del sector privado o externo,</w:t>
      </w:r>
      <w:r>
        <w:rPr>
          <w:lang w:val="es-ES_tradnl"/>
        </w:rPr>
        <w:t xml:space="preserve"> </w:t>
      </w:r>
      <w:r w:rsidR="007448F8">
        <w:rPr>
          <w:lang w:val="es-ES_tradnl"/>
        </w:rPr>
        <w:t xml:space="preserve">para que los informes de avance físico y financiero que anteriormente eran </w:t>
      </w:r>
      <w:r w:rsidR="007448F8">
        <w:rPr>
          <w:lang w:val="es-ES_tradnl"/>
        </w:rPr>
        <w:lastRenderedPageBreak/>
        <w:t xml:space="preserve">entregados en forma física (papel), se puedan </w:t>
      </w:r>
      <w:r w:rsidR="000C3C34">
        <w:rPr>
          <w:lang w:val="es-ES_tradnl"/>
        </w:rPr>
        <w:t>ingresar</w:t>
      </w:r>
      <w:r w:rsidR="007448F8">
        <w:rPr>
          <w:lang w:val="es-ES_tradnl"/>
        </w:rPr>
        <w:t xml:space="preserve"> </w:t>
      </w:r>
      <w:r w:rsidR="000C3C34">
        <w:rPr>
          <w:lang w:val="es-ES_tradnl"/>
        </w:rPr>
        <w:t xml:space="preserve">en línea </w:t>
      </w:r>
      <w:r w:rsidR="00777FAB">
        <w:rPr>
          <w:lang w:val="es-ES_tradnl"/>
        </w:rPr>
        <w:t xml:space="preserve">en forma electrónica </w:t>
      </w:r>
      <w:r w:rsidR="000C3C34">
        <w:rPr>
          <w:lang w:val="es-ES_tradnl"/>
        </w:rPr>
        <w:t>y que puedan ser consultados por los ciudadanos y usuarios en general, así como ser dados por recibidos por parte de las cuatro entidades que manda la Ley, siendo éstas: entidad otorgante de los recursos, Ministerio de Finanzas Públicas, Congreso de la República y Contraloría General de Cuentas.</w:t>
      </w:r>
    </w:p>
    <w:p w:rsidR="000C3C34" w:rsidRDefault="000C3C34" w:rsidP="00C620A4">
      <w:pPr>
        <w:jc w:val="both"/>
        <w:rPr>
          <w:lang w:val="es-ES_tradnl"/>
        </w:rPr>
      </w:pPr>
    </w:p>
    <w:p w:rsidR="00C620A4" w:rsidRDefault="00C620A4" w:rsidP="00C620A4">
      <w:pPr>
        <w:jc w:val="both"/>
        <w:rPr>
          <w:rFonts w:eastAsia="Calibri"/>
          <w:lang w:val="es-GT" w:eastAsia="en-US" w:bidi="en-US"/>
        </w:rPr>
      </w:pPr>
    </w:p>
    <w:p w:rsidR="00C620A4" w:rsidRPr="00B25D87" w:rsidRDefault="00557944" w:rsidP="00C620A4">
      <w:pPr>
        <w:jc w:val="both"/>
        <w:rPr>
          <w:rFonts w:eastAsia="Calibri"/>
          <w:lang w:val="es-GT" w:eastAsia="en-US" w:bidi="en-US"/>
        </w:rPr>
      </w:pPr>
      <w:r>
        <w:rPr>
          <w:rFonts w:eastAsia="Calibri"/>
          <w:lang w:val="es-GT" w:eastAsia="en-US" w:bidi="en-US"/>
        </w:rPr>
        <w:t xml:space="preserve">Por último, </w:t>
      </w:r>
      <w:r w:rsidR="00C620A4" w:rsidRPr="00B25D87">
        <w:rPr>
          <w:rFonts w:eastAsia="Calibri"/>
          <w:lang w:val="es-GT" w:eastAsia="en-US" w:bidi="en-US"/>
        </w:rPr>
        <w:t>se continúa trabajando en diversas iniciativas</w:t>
      </w:r>
      <w:r w:rsidR="00C620A4">
        <w:rPr>
          <w:rFonts w:eastAsia="Calibri"/>
          <w:lang w:val="es-GT" w:eastAsia="en-US" w:bidi="en-US"/>
        </w:rPr>
        <w:t xml:space="preserve"> y mecanismos </w:t>
      </w:r>
      <w:r w:rsidR="00CB3D5A">
        <w:rPr>
          <w:rFonts w:eastAsia="Calibri"/>
          <w:lang w:val="es-GT" w:eastAsia="en-US" w:bidi="en-US"/>
        </w:rPr>
        <w:t xml:space="preserve">de transparencia y participación ciudadana </w:t>
      </w:r>
      <w:r w:rsidR="00C620A4" w:rsidRPr="00B25D87">
        <w:rPr>
          <w:rFonts w:eastAsia="Calibri"/>
          <w:lang w:val="es-GT" w:eastAsia="en-US" w:bidi="en-US"/>
        </w:rPr>
        <w:t>que evalúan la situación del país comparada con determinados parámetros y estándares que recomiendan las buenas prácticas internacionales, tales como:</w:t>
      </w:r>
    </w:p>
    <w:p w:rsidR="00C620A4" w:rsidRPr="00B25D87" w:rsidRDefault="00C620A4" w:rsidP="00C620A4">
      <w:pPr>
        <w:jc w:val="both"/>
        <w:rPr>
          <w:rFonts w:eastAsia="Calibri"/>
          <w:lang w:val="es-GT" w:eastAsia="en-US" w:bidi="en-US"/>
        </w:rPr>
      </w:pPr>
    </w:p>
    <w:p w:rsidR="00C620A4" w:rsidRDefault="00C620A4" w:rsidP="00C620A4">
      <w:pPr>
        <w:ind w:left="709" w:hanging="709"/>
        <w:jc w:val="both"/>
        <w:rPr>
          <w:rFonts w:eastAsia="Calibri"/>
          <w:lang w:val="es-GT" w:eastAsia="en-US" w:bidi="en-US"/>
        </w:rPr>
      </w:pPr>
      <w:r w:rsidRPr="00B25D87">
        <w:rPr>
          <w:rFonts w:eastAsia="Calibri"/>
          <w:lang w:val="es-GT" w:eastAsia="en-US" w:bidi="en-US"/>
        </w:rPr>
        <w:t>•</w:t>
      </w:r>
      <w:r w:rsidRPr="00B25D87">
        <w:rPr>
          <w:rFonts w:eastAsia="Calibri"/>
          <w:lang w:val="es-GT" w:eastAsia="en-US" w:bidi="en-US"/>
        </w:rPr>
        <w:tab/>
        <w:t>Informe PEFA (Public Expenditures and Financial Accountability) que evalúa la gestión de las finanzas públicas y la rendición de cuentas.</w:t>
      </w:r>
    </w:p>
    <w:p w:rsidR="00C620A4" w:rsidRPr="004E438A" w:rsidRDefault="00C620A4" w:rsidP="00C620A4">
      <w:pPr>
        <w:ind w:left="709" w:hanging="709"/>
        <w:jc w:val="both"/>
        <w:rPr>
          <w:rFonts w:eastAsia="Calibri"/>
          <w:sz w:val="14"/>
          <w:lang w:val="es-GT" w:eastAsia="en-US" w:bidi="en-US"/>
        </w:rPr>
      </w:pPr>
    </w:p>
    <w:p w:rsidR="00C620A4" w:rsidRDefault="00C620A4" w:rsidP="00C620A4">
      <w:pPr>
        <w:ind w:left="709" w:hanging="709"/>
        <w:jc w:val="both"/>
        <w:rPr>
          <w:rFonts w:eastAsia="Calibri"/>
          <w:lang w:val="es-GT" w:eastAsia="en-US" w:bidi="en-US"/>
        </w:rPr>
      </w:pPr>
      <w:r w:rsidRPr="00B25D87">
        <w:rPr>
          <w:rFonts w:eastAsia="Calibri"/>
          <w:lang w:val="es-GT" w:eastAsia="en-US" w:bidi="en-US"/>
        </w:rPr>
        <w:t>•</w:t>
      </w:r>
      <w:r w:rsidRPr="00B25D87">
        <w:rPr>
          <w:rFonts w:eastAsia="Calibri"/>
          <w:lang w:val="es-GT" w:eastAsia="en-US" w:bidi="en-US"/>
        </w:rPr>
        <w:tab/>
        <w:t>Índice de Percepción de la Corrupción (IPC) que evalúa</w:t>
      </w:r>
      <w:r w:rsidR="00557944">
        <w:rPr>
          <w:rFonts w:eastAsia="Calibri"/>
          <w:lang w:val="es-GT" w:eastAsia="en-US" w:bidi="en-US"/>
        </w:rPr>
        <w:t>,</w:t>
      </w:r>
      <w:r w:rsidRPr="00B25D87">
        <w:rPr>
          <w:rFonts w:eastAsia="Calibri"/>
          <w:lang w:val="es-GT" w:eastAsia="en-US" w:bidi="en-US"/>
        </w:rPr>
        <w:t xml:space="preserve"> con base en la opinión de expertos, la percepción de la corrupción en el país.</w:t>
      </w:r>
    </w:p>
    <w:p w:rsidR="00C620A4" w:rsidRPr="004E438A" w:rsidRDefault="00C620A4" w:rsidP="00C620A4">
      <w:pPr>
        <w:ind w:left="709" w:hanging="709"/>
        <w:jc w:val="both"/>
        <w:rPr>
          <w:rFonts w:eastAsia="Calibri"/>
          <w:sz w:val="14"/>
          <w:lang w:val="es-GT" w:eastAsia="en-US" w:bidi="en-US"/>
        </w:rPr>
      </w:pPr>
    </w:p>
    <w:p w:rsidR="00C620A4" w:rsidRDefault="00C620A4" w:rsidP="00C620A4">
      <w:pPr>
        <w:ind w:left="709" w:hanging="709"/>
        <w:jc w:val="both"/>
        <w:rPr>
          <w:rFonts w:eastAsia="Calibri"/>
          <w:lang w:val="es-GT" w:eastAsia="en-US" w:bidi="en-US"/>
        </w:rPr>
      </w:pPr>
      <w:r w:rsidRPr="00B25D87">
        <w:rPr>
          <w:rFonts w:eastAsia="Calibri"/>
          <w:lang w:val="es-GT" w:eastAsia="en-US" w:bidi="en-US"/>
        </w:rPr>
        <w:t>•</w:t>
      </w:r>
      <w:r w:rsidRPr="00B25D87">
        <w:rPr>
          <w:rFonts w:eastAsia="Calibri"/>
          <w:lang w:val="es-GT" w:eastAsia="en-US" w:bidi="en-US"/>
        </w:rPr>
        <w:tab/>
      </w:r>
      <w:r>
        <w:rPr>
          <w:rFonts w:eastAsia="Calibri"/>
          <w:lang w:val="es-GT" w:eastAsia="en-US" w:bidi="en-US"/>
        </w:rPr>
        <w:t>O</w:t>
      </w:r>
      <w:r w:rsidRPr="00B25D87">
        <w:rPr>
          <w:rFonts w:eastAsia="Calibri"/>
          <w:lang w:val="es-GT" w:eastAsia="en-US" w:bidi="en-US"/>
        </w:rPr>
        <w:t xml:space="preserve">tras </w:t>
      </w:r>
      <w:r>
        <w:rPr>
          <w:rFonts w:eastAsia="Calibri"/>
          <w:lang w:val="es-GT" w:eastAsia="en-US" w:bidi="en-US"/>
        </w:rPr>
        <w:t>acciones adicionales</w:t>
      </w:r>
      <w:r w:rsidRPr="00B25D87">
        <w:rPr>
          <w:rFonts w:eastAsia="Calibri"/>
          <w:lang w:val="es-GT" w:eastAsia="en-US" w:bidi="en-US"/>
        </w:rPr>
        <w:t xml:space="preserve">, tales como, Iniciativa Global </w:t>
      </w:r>
      <w:r w:rsidR="009B515C">
        <w:rPr>
          <w:rFonts w:eastAsia="Calibri"/>
          <w:lang w:val="es-GT" w:eastAsia="en-US" w:bidi="en-US"/>
        </w:rPr>
        <w:t>para la</w:t>
      </w:r>
      <w:r w:rsidRPr="00B25D87">
        <w:rPr>
          <w:rFonts w:eastAsia="Calibri"/>
          <w:lang w:val="es-GT" w:eastAsia="en-US" w:bidi="en-US"/>
        </w:rPr>
        <w:t xml:space="preserve"> Transparencia Fiscal (GIFT), Iniciativa de Transparencia en </w:t>
      </w:r>
      <w:r w:rsidR="00557944">
        <w:rPr>
          <w:rFonts w:eastAsia="Calibri"/>
          <w:lang w:val="es-GT" w:eastAsia="en-US" w:bidi="en-US"/>
        </w:rPr>
        <w:t>Infraestructura Pública</w:t>
      </w:r>
      <w:r w:rsidR="009B515C">
        <w:rPr>
          <w:rFonts w:eastAsia="Calibri"/>
          <w:lang w:val="es-GT" w:eastAsia="en-US" w:bidi="en-US"/>
        </w:rPr>
        <w:t xml:space="preserve"> (Co</w:t>
      </w:r>
      <w:r w:rsidRPr="00B25D87">
        <w:rPr>
          <w:rFonts w:eastAsia="Calibri"/>
          <w:lang w:val="es-GT" w:eastAsia="en-US" w:bidi="en-US"/>
        </w:rPr>
        <w:t xml:space="preserve">ST), Iniciativa para la Recuperación de Activos Robados (STAR), Iniciativa de Transparencia de las Industrias Extractivas (EITI), Mecanismo de Seguimiento de la Convención Interamericana </w:t>
      </w:r>
      <w:r>
        <w:rPr>
          <w:rFonts w:eastAsia="Calibri"/>
          <w:lang w:val="es-GT" w:eastAsia="en-US" w:bidi="en-US"/>
        </w:rPr>
        <w:t>c</w:t>
      </w:r>
      <w:r w:rsidRPr="00B25D87">
        <w:rPr>
          <w:rFonts w:eastAsia="Calibri"/>
          <w:lang w:val="es-GT" w:eastAsia="en-US" w:bidi="en-US"/>
        </w:rPr>
        <w:t xml:space="preserve">ontra la Corrupción (MESICIC), </w:t>
      </w:r>
      <w:r>
        <w:rPr>
          <w:rFonts w:eastAsia="Calibri"/>
          <w:lang w:val="es-GT" w:eastAsia="en-US" w:bidi="en-US"/>
        </w:rPr>
        <w:t>seguimiento de la Convención de Naciones Unidas contra la Corrupción</w:t>
      </w:r>
      <w:r w:rsidR="00557944">
        <w:rPr>
          <w:rFonts w:eastAsia="Calibri"/>
          <w:lang w:val="es-GT" w:eastAsia="en-US" w:bidi="en-US"/>
        </w:rPr>
        <w:t xml:space="preserve"> (</w:t>
      </w:r>
      <w:r w:rsidR="00CE74BD">
        <w:rPr>
          <w:rFonts w:eastAsia="Calibri"/>
          <w:lang w:val="es-GT" w:eastAsia="en-US" w:bidi="en-US"/>
        </w:rPr>
        <w:t>CNU</w:t>
      </w:r>
      <w:r w:rsidR="00557944">
        <w:rPr>
          <w:rFonts w:eastAsia="Calibri"/>
          <w:lang w:val="es-GT" w:eastAsia="en-US" w:bidi="en-US"/>
        </w:rPr>
        <w:t>CC)</w:t>
      </w:r>
      <w:r>
        <w:rPr>
          <w:rFonts w:eastAsia="Calibri"/>
          <w:lang w:val="es-GT" w:eastAsia="en-US" w:bidi="en-US"/>
        </w:rPr>
        <w:t xml:space="preserve">, </w:t>
      </w:r>
      <w:r w:rsidRPr="00B25D87">
        <w:rPr>
          <w:rFonts w:eastAsia="Calibri"/>
          <w:lang w:val="es-GT" w:eastAsia="en-US" w:bidi="en-US"/>
        </w:rPr>
        <w:t>entre otras</w:t>
      </w:r>
      <w:r>
        <w:rPr>
          <w:rFonts w:eastAsia="Calibri"/>
          <w:lang w:val="es-GT" w:eastAsia="en-US" w:bidi="en-US"/>
        </w:rPr>
        <w:t>.</w:t>
      </w:r>
    </w:p>
    <w:p w:rsidR="00E830E6" w:rsidRDefault="00E830E6" w:rsidP="00C620A4">
      <w:pPr>
        <w:ind w:left="709" w:hanging="709"/>
        <w:jc w:val="both"/>
        <w:rPr>
          <w:rFonts w:eastAsia="Calibri"/>
          <w:lang w:val="es-GT" w:eastAsia="en-US" w:bidi="en-US"/>
        </w:rPr>
      </w:pPr>
    </w:p>
    <w:p w:rsidR="00CC3F10" w:rsidRDefault="00CC3F10" w:rsidP="00C620A4">
      <w:pPr>
        <w:ind w:left="709" w:hanging="709"/>
        <w:jc w:val="both"/>
        <w:rPr>
          <w:rFonts w:eastAsia="Calibri"/>
          <w:lang w:val="es-GT" w:eastAsia="en-US" w:bidi="en-US"/>
        </w:rPr>
      </w:pPr>
    </w:p>
    <w:p w:rsidR="00C620A4" w:rsidRDefault="00C620A4" w:rsidP="00C620A4">
      <w:pPr>
        <w:pStyle w:val="Ttulo2"/>
        <w:rPr>
          <w:rFonts w:ascii="Times New Roman" w:eastAsia="Calibri" w:hAnsi="Times New Roman"/>
          <w:color w:val="auto"/>
          <w:sz w:val="24"/>
          <w:szCs w:val="24"/>
          <w:lang w:val="es-GT" w:eastAsia="en-US" w:bidi="en-US"/>
        </w:rPr>
      </w:pPr>
      <w:bookmarkStart w:id="33" w:name="_Toc417992546"/>
      <w:bookmarkStart w:id="34" w:name="_Toc443491864"/>
      <w:bookmarkStart w:id="35" w:name="_Toc482339314"/>
      <w:bookmarkStart w:id="36" w:name="_Toc32829803"/>
      <w:r w:rsidRPr="00C620A4">
        <w:rPr>
          <w:rFonts w:ascii="Times New Roman" w:eastAsia="Calibri" w:hAnsi="Times New Roman"/>
          <w:color w:val="auto"/>
          <w:sz w:val="24"/>
          <w:szCs w:val="24"/>
          <w:lang w:val="es-GT" w:eastAsia="en-US" w:bidi="en-US"/>
        </w:rPr>
        <w:t>Gestión de Riesgos Fiscales</w:t>
      </w:r>
      <w:bookmarkEnd w:id="33"/>
      <w:bookmarkEnd w:id="34"/>
      <w:bookmarkEnd w:id="35"/>
      <w:bookmarkEnd w:id="36"/>
    </w:p>
    <w:p w:rsidR="00C7403B" w:rsidRDefault="00C7403B" w:rsidP="00C7403B">
      <w:pPr>
        <w:rPr>
          <w:rFonts w:eastAsia="Calibri"/>
          <w:lang w:val="es-GT" w:eastAsia="en-US" w:bidi="en-US"/>
        </w:rPr>
      </w:pPr>
    </w:p>
    <w:p w:rsidR="0045067B" w:rsidRDefault="0045067B" w:rsidP="0045067B">
      <w:pPr>
        <w:jc w:val="both"/>
        <w:rPr>
          <w:rFonts w:eastAsia="Calibri"/>
          <w:lang w:val="es-GT" w:eastAsia="en-US" w:bidi="en-US"/>
        </w:rPr>
      </w:pPr>
      <w:r w:rsidRPr="00994772">
        <w:rPr>
          <w:rFonts w:eastAsia="Calibri"/>
          <w:lang w:val="es-GT" w:eastAsia="en-US" w:bidi="en-US"/>
        </w:rPr>
        <w:t>En la formulación del Proyecto de Presupuesto General de Ingresos y Egresos del Estado</w:t>
      </w:r>
      <w:r w:rsidR="00EC1B19">
        <w:rPr>
          <w:rFonts w:eastAsia="Calibri"/>
          <w:lang w:val="es-GT" w:eastAsia="en-US" w:bidi="en-US"/>
        </w:rPr>
        <w:t xml:space="preserve"> para el Ejercicio Fiscal 2020</w:t>
      </w:r>
      <w:r w:rsidRPr="00994772">
        <w:rPr>
          <w:rFonts w:eastAsia="Calibri"/>
          <w:lang w:val="es-GT" w:eastAsia="en-US" w:bidi="en-US"/>
        </w:rPr>
        <w:t xml:space="preserve">, por </w:t>
      </w:r>
      <w:r w:rsidR="00EC1B19">
        <w:rPr>
          <w:rFonts w:eastAsia="Calibri"/>
          <w:lang w:val="es-GT" w:eastAsia="en-US" w:bidi="en-US"/>
        </w:rPr>
        <w:t>cuarto</w:t>
      </w:r>
      <w:r w:rsidRPr="00994772">
        <w:rPr>
          <w:rFonts w:eastAsia="Calibri"/>
          <w:lang w:val="es-GT" w:eastAsia="en-US" w:bidi="en-US"/>
        </w:rPr>
        <w:t xml:space="preserve"> año consecutivo se ha incorporado una separata o informe ejecutivo sobre el análisis y gestión de riesgos fiscales, para que se conozcan los principales riesgos que pueden afectar </w:t>
      </w:r>
      <w:r w:rsidR="00602B36">
        <w:rPr>
          <w:rFonts w:eastAsia="Calibri"/>
          <w:lang w:val="es-GT" w:eastAsia="en-US" w:bidi="en-US"/>
        </w:rPr>
        <w:t xml:space="preserve">el desempeño de </w:t>
      </w:r>
      <w:r w:rsidRPr="00994772">
        <w:rPr>
          <w:rFonts w:eastAsia="Calibri"/>
          <w:lang w:val="es-GT" w:eastAsia="en-US" w:bidi="en-US"/>
        </w:rPr>
        <w:t xml:space="preserve">las finanzas públicas, su impacto en monto y como porcentaje del PIB y las posibles medidas de mitigación que se pueden adoptar para contrarrestar sus efectos. </w:t>
      </w:r>
      <w:r w:rsidR="00EC1B19">
        <w:rPr>
          <w:rFonts w:eastAsia="Calibri"/>
          <w:lang w:val="es-GT" w:eastAsia="en-US" w:bidi="en-US"/>
        </w:rPr>
        <w:t xml:space="preserve">Esta fue una de las principales recomendaciones que formuló el Fondo Monetario Internacional (FMI) en su Evaluación </w:t>
      </w:r>
      <w:r w:rsidR="009203AE">
        <w:rPr>
          <w:rFonts w:eastAsia="Calibri"/>
          <w:lang w:val="es-GT" w:eastAsia="en-US" w:bidi="en-US"/>
        </w:rPr>
        <w:t>sobre</w:t>
      </w:r>
      <w:r w:rsidR="00EC1B19">
        <w:rPr>
          <w:rFonts w:eastAsia="Calibri"/>
          <w:lang w:val="es-GT" w:eastAsia="en-US" w:bidi="en-US"/>
        </w:rPr>
        <w:t xml:space="preserve"> Transparencia Fiscal practicada </w:t>
      </w:r>
      <w:r w:rsidR="00602B36">
        <w:rPr>
          <w:rFonts w:eastAsia="Calibri"/>
          <w:lang w:val="es-GT" w:eastAsia="en-US" w:bidi="en-US"/>
        </w:rPr>
        <w:t>en</w:t>
      </w:r>
      <w:r w:rsidR="00EC1B19">
        <w:rPr>
          <w:rFonts w:eastAsia="Calibri"/>
          <w:lang w:val="es-GT" w:eastAsia="en-US" w:bidi="en-US"/>
        </w:rPr>
        <w:t xml:space="preserve"> la República de Guatemala, en los meses de marzo y abril de 2016</w:t>
      </w:r>
      <w:r w:rsidR="00602B36">
        <w:rPr>
          <w:rFonts w:eastAsia="Calibri"/>
          <w:lang w:val="es-GT" w:eastAsia="en-US" w:bidi="en-US"/>
        </w:rPr>
        <w:t xml:space="preserve"> y que ya ha sido incorporada como una buena práctica durante el proceso de la formulación presupuestaria</w:t>
      </w:r>
      <w:r w:rsidR="00EC1B19">
        <w:rPr>
          <w:rFonts w:eastAsia="Calibri"/>
          <w:lang w:val="es-GT" w:eastAsia="en-US" w:bidi="en-US"/>
        </w:rPr>
        <w:t>.</w:t>
      </w:r>
    </w:p>
    <w:p w:rsidR="0045067B" w:rsidRPr="00994772" w:rsidRDefault="0045067B" w:rsidP="00C7403B">
      <w:pPr>
        <w:rPr>
          <w:rFonts w:eastAsia="Calibri"/>
          <w:lang w:val="es-GT" w:eastAsia="en-US" w:bidi="en-US"/>
        </w:rPr>
      </w:pPr>
    </w:p>
    <w:p w:rsidR="00C7403B" w:rsidRPr="00994772" w:rsidRDefault="00C7403B" w:rsidP="00F31597">
      <w:pPr>
        <w:pStyle w:val="Sinespaciado"/>
        <w:jc w:val="both"/>
        <w:rPr>
          <w:rFonts w:ascii="Times New Roman" w:hAnsi="Times New Roman" w:cs="Times New Roman"/>
          <w:lang w:val="es-MX"/>
        </w:rPr>
      </w:pPr>
      <w:r w:rsidRPr="00994772">
        <w:rPr>
          <w:rFonts w:ascii="Times New Roman" w:hAnsi="Times New Roman" w:cs="Times New Roman"/>
          <w:lang w:val="es-MX"/>
        </w:rPr>
        <w:t>La transparencia fiscal ayuda a garantizar que las decisiones de los gobiernos en materia de economía se informen en una evaluación compartida y exacta de la posición fiscal actual los costos y beneficios de cualquier modificación de la política y los riesgos potenciales para las perspectivas fiscales. Además, brinda a las legislaturas, mercados y ciudadanos la información necesaria para tomar decisiones financieras eficientes y para responsabilizar al gobierno por el desempeño fiscal y la utiliz</w:t>
      </w:r>
      <w:r w:rsidR="00F31597" w:rsidRPr="00994772">
        <w:rPr>
          <w:rFonts w:ascii="Times New Roman" w:hAnsi="Times New Roman" w:cs="Times New Roman"/>
          <w:lang w:val="es-MX"/>
        </w:rPr>
        <w:t xml:space="preserve">ación de los recursos públicos y </w:t>
      </w:r>
      <w:r w:rsidRPr="00994772">
        <w:rPr>
          <w:rFonts w:ascii="Times New Roman" w:hAnsi="Times New Roman" w:cs="Times New Roman"/>
          <w:lang w:val="es-MX"/>
        </w:rPr>
        <w:t>facilita la vigilancia internacional de los acontecimientos fiscales y ayuda a mitigar la transmisión de contagio fiscal entre países.</w:t>
      </w:r>
    </w:p>
    <w:p w:rsidR="00C7403B" w:rsidRDefault="00C7403B" w:rsidP="00C7403B">
      <w:pPr>
        <w:pStyle w:val="Sinespaciado"/>
        <w:jc w:val="both"/>
        <w:rPr>
          <w:rFonts w:ascii="Times New Roman" w:hAnsi="Times New Roman" w:cs="Times New Roman"/>
          <w:lang w:val="es-MX"/>
        </w:rPr>
      </w:pPr>
    </w:p>
    <w:p w:rsidR="00365D39" w:rsidRPr="00B82BE9" w:rsidRDefault="00B82BE9" w:rsidP="00B82BE9">
      <w:pPr>
        <w:pStyle w:val="Ttulo2"/>
        <w:rPr>
          <w:rFonts w:ascii="Times New Roman" w:eastAsia="Calibri" w:hAnsi="Times New Roman"/>
          <w:color w:val="auto"/>
          <w:sz w:val="24"/>
          <w:szCs w:val="24"/>
          <w:lang w:val="es-GT" w:eastAsia="en-US" w:bidi="en-US"/>
        </w:rPr>
      </w:pPr>
      <w:bookmarkStart w:id="37" w:name="_Toc32829804"/>
      <w:r w:rsidRPr="00B82BE9">
        <w:rPr>
          <w:rFonts w:ascii="Times New Roman" w:eastAsia="Calibri" w:hAnsi="Times New Roman"/>
          <w:color w:val="auto"/>
          <w:sz w:val="24"/>
          <w:szCs w:val="24"/>
          <w:lang w:val="es-GT" w:eastAsia="en-US" w:bidi="en-US"/>
        </w:rPr>
        <w:lastRenderedPageBreak/>
        <w:t>Estrategia de Transparencia Fiscal del Ministerio de Finanzas Públicas</w:t>
      </w:r>
      <w:bookmarkEnd w:id="37"/>
    </w:p>
    <w:p w:rsidR="00365D39" w:rsidRDefault="00365D39" w:rsidP="00C7403B">
      <w:pPr>
        <w:pStyle w:val="Sinespaciado"/>
        <w:jc w:val="both"/>
        <w:rPr>
          <w:rFonts w:ascii="Times New Roman" w:hAnsi="Times New Roman" w:cs="Times New Roman"/>
          <w:lang w:val="es-MX"/>
        </w:rPr>
      </w:pPr>
    </w:p>
    <w:p w:rsidR="00B82BE9" w:rsidRPr="00B82BE9" w:rsidRDefault="00B82BE9" w:rsidP="00B82BE9">
      <w:pPr>
        <w:pStyle w:val="Sinespaciado"/>
        <w:jc w:val="both"/>
        <w:rPr>
          <w:rFonts w:ascii="Times New Roman" w:hAnsi="Times New Roman" w:cs="Times New Roman"/>
          <w:lang w:val="es-MX"/>
        </w:rPr>
      </w:pPr>
      <w:r w:rsidRPr="00B82BE9">
        <w:rPr>
          <w:rFonts w:ascii="Times New Roman" w:hAnsi="Times New Roman" w:cs="Times New Roman"/>
          <w:lang w:val="es-MX"/>
        </w:rPr>
        <w:t>La importancia de que exista una estrategia de transparencia fiscal que sirva de marco referencial en la administración financiera, radica en que, por un lado, se genera la cultura de rendición de cuentas a la población, por las medidas y acciones realizadas en la gestión pública; y por otro, se contribuye con la prevención de la corrupción, con lo cual se influye en mejorar las condiciones que favorecen entre otros aspectos, la gobernanza, tributación, inversión, clima de negocios, así como una mayor armonización entre las políticas económica y social que redunden en beneficio de la población en general, sin descartar que a nivel internacional favorece el posicionamiento del país en áreas como el comercio, la inversión extranjera y la cooperación técnica y financiera.</w:t>
      </w:r>
    </w:p>
    <w:p w:rsidR="00B82BE9" w:rsidRPr="00B82BE9" w:rsidRDefault="00B82BE9" w:rsidP="00B82BE9">
      <w:pPr>
        <w:pStyle w:val="Sinespaciado"/>
        <w:jc w:val="both"/>
        <w:rPr>
          <w:rFonts w:ascii="Times New Roman" w:hAnsi="Times New Roman" w:cs="Times New Roman"/>
          <w:lang w:val="es-MX"/>
        </w:rPr>
      </w:pPr>
    </w:p>
    <w:p w:rsidR="00B82BE9" w:rsidRDefault="00B82BE9" w:rsidP="00B82BE9">
      <w:pPr>
        <w:pStyle w:val="Sinespaciado"/>
        <w:jc w:val="both"/>
        <w:rPr>
          <w:rFonts w:ascii="Times New Roman" w:hAnsi="Times New Roman" w:cs="Times New Roman"/>
          <w:lang w:val="es-MX"/>
        </w:rPr>
      </w:pPr>
      <w:r w:rsidRPr="00B82BE9">
        <w:rPr>
          <w:rFonts w:ascii="Times New Roman" w:hAnsi="Times New Roman" w:cs="Times New Roman"/>
          <w:lang w:val="es-MX"/>
        </w:rPr>
        <w:t>En ese sentido, por medio del Acuerdo Ministerial No. 82-2019 del 7 de febrero de 2019 se aprobó la Estrategia de Transparencia Fiscal del Ministerio de Finanzas Públicas que permite a la ciudadanía obtener el conocimiento de las finanzas públicas del país así como su dinámica, toda vez que el alcance y limitación de los recursos públicos son determinantes para que el gobierno y sus instituciones puedan atender las diversas demandas de bienes y servicios por parte de la población guatemalteca. Por otro lado, la administración de los recursos del Estado constituye en sí misma, una responsabilidad por la cual los funcionarios en los distintos niveles de la administración pública, han de rendir cuentas como parte de la ética en el manejo y gestión pública.</w:t>
      </w:r>
    </w:p>
    <w:p w:rsidR="00B82BE9" w:rsidRDefault="00B82BE9" w:rsidP="00C7403B">
      <w:pPr>
        <w:pStyle w:val="Sinespaciado"/>
        <w:jc w:val="both"/>
        <w:rPr>
          <w:rFonts w:ascii="Times New Roman" w:hAnsi="Times New Roman" w:cs="Times New Roman"/>
          <w:lang w:val="es-MX"/>
        </w:rPr>
      </w:pPr>
    </w:p>
    <w:p w:rsidR="00181D3E" w:rsidRDefault="00181D3E" w:rsidP="00C7403B">
      <w:pPr>
        <w:pStyle w:val="Sinespaciado"/>
        <w:jc w:val="both"/>
        <w:rPr>
          <w:rFonts w:ascii="Times New Roman" w:hAnsi="Times New Roman" w:cs="Times New Roman"/>
          <w:lang w:val="es-MX"/>
        </w:rPr>
      </w:pPr>
    </w:p>
    <w:p w:rsidR="00EC6694" w:rsidRDefault="00EC6694">
      <w:pPr>
        <w:rPr>
          <w:rFonts w:eastAsiaTheme="minorEastAsia"/>
          <w:lang w:val="es-MX" w:eastAsia="ja-JP"/>
        </w:rPr>
      </w:pPr>
      <w:r>
        <w:rPr>
          <w:lang w:val="es-MX"/>
        </w:rPr>
        <w:br w:type="page"/>
      </w: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4C0853" w:rsidRDefault="00EC6694" w:rsidP="00EC6694">
      <w:pPr>
        <w:jc w:val="center"/>
        <w:rPr>
          <w:b/>
          <w:sz w:val="36"/>
        </w:rPr>
      </w:pPr>
      <w:r w:rsidRPr="00EC6694">
        <w:rPr>
          <w:b/>
          <w:sz w:val="72"/>
        </w:rPr>
        <w:t>ANEXOS</w:t>
      </w:r>
    </w:p>
    <w:p w:rsidR="00EC6694" w:rsidRPr="004C0853" w:rsidRDefault="00EC6694" w:rsidP="00EC6694">
      <w:pPr>
        <w:jc w:val="center"/>
        <w:rPr>
          <w:b/>
          <w:sz w:val="36"/>
        </w:rPr>
      </w:pPr>
    </w:p>
    <w:p w:rsidR="00EC6694" w:rsidRPr="00124AD6" w:rsidRDefault="00EC6694" w:rsidP="00EC6694">
      <w:pPr>
        <w:tabs>
          <w:tab w:val="left" w:pos="142"/>
        </w:tabs>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Default="00EC6694" w:rsidP="00EC6694">
      <w:pPr>
        <w:jc w:val="center"/>
        <w:rPr>
          <w:b/>
        </w:rPr>
      </w:pPr>
    </w:p>
    <w:p w:rsidR="00EC6694" w:rsidRPr="00124AD6" w:rsidRDefault="00EC6694" w:rsidP="00EC6694">
      <w:pPr>
        <w:jc w:val="center"/>
        <w:rPr>
          <w:b/>
        </w:rPr>
      </w:pPr>
    </w:p>
    <w:p w:rsidR="00EC6694" w:rsidRPr="00124AD6" w:rsidRDefault="00EC6694" w:rsidP="00EC6694">
      <w:pPr>
        <w:jc w:val="center"/>
        <w:rPr>
          <w:b/>
        </w:rPr>
      </w:pPr>
    </w:p>
    <w:p w:rsidR="00EC6694" w:rsidRDefault="00EC6694" w:rsidP="00EC6694">
      <w:pPr>
        <w:jc w:val="center"/>
        <w:rPr>
          <w:b/>
        </w:rPr>
      </w:pPr>
    </w:p>
    <w:p w:rsidR="00EC6694" w:rsidRPr="00124AD6" w:rsidRDefault="00EC6694" w:rsidP="00EC6694">
      <w:pPr>
        <w:jc w:val="center"/>
        <w:rPr>
          <w:b/>
        </w:rPr>
      </w:pPr>
    </w:p>
    <w:p w:rsidR="00EC6694" w:rsidRPr="00124AD6" w:rsidRDefault="00EC6694" w:rsidP="00EC6694">
      <w:pPr>
        <w:rPr>
          <w:b/>
        </w:rPr>
      </w:pPr>
    </w:p>
    <w:p w:rsidR="00EC6694" w:rsidRPr="00124AD6" w:rsidRDefault="00EC6694" w:rsidP="00EC6694">
      <w:pPr>
        <w:jc w:val="center"/>
        <w:rPr>
          <w:b/>
        </w:rPr>
      </w:pPr>
    </w:p>
    <w:p w:rsidR="00EC6694" w:rsidRPr="00124AD6" w:rsidRDefault="00EC6694" w:rsidP="00EC6694">
      <w:pPr>
        <w:rPr>
          <w:b/>
        </w:rPr>
      </w:pPr>
    </w:p>
    <w:p w:rsidR="00EC6694" w:rsidRPr="00124AD6" w:rsidRDefault="00EC6694" w:rsidP="00EC6694">
      <w:pPr>
        <w:rPr>
          <w:b/>
        </w:rPr>
      </w:pPr>
    </w:p>
    <w:p w:rsidR="00EC6694" w:rsidRPr="00124AD6" w:rsidRDefault="00EC6694" w:rsidP="00EC6694">
      <w:pPr>
        <w:jc w:val="center"/>
        <w:rPr>
          <w:b/>
        </w:rPr>
      </w:pPr>
      <w:r w:rsidRPr="00124AD6">
        <w:rPr>
          <w:b/>
        </w:rPr>
        <w:t>MINISTERIO DE FINANZAS PÚBLICAS</w:t>
      </w:r>
    </w:p>
    <w:p w:rsidR="00EC6694" w:rsidRPr="00124AD6" w:rsidRDefault="00EC6694" w:rsidP="00EC6694">
      <w:pPr>
        <w:jc w:val="center"/>
        <w:rPr>
          <w:b/>
        </w:rPr>
      </w:pPr>
    </w:p>
    <w:p w:rsidR="00EC6694" w:rsidRPr="00124AD6" w:rsidRDefault="00EC6694" w:rsidP="00EC6694">
      <w:pPr>
        <w:jc w:val="center"/>
        <w:rPr>
          <w:b/>
        </w:rPr>
      </w:pPr>
      <w:r w:rsidRPr="00124AD6">
        <w:rPr>
          <w:b/>
        </w:rPr>
        <w:t xml:space="preserve">Guatemala, </w:t>
      </w:r>
      <w:r w:rsidR="00697F7F">
        <w:rPr>
          <w:b/>
        </w:rPr>
        <w:t>febrero</w:t>
      </w:r>
      <w:r>
        <w:rPr>
          <w:b/>
        </w:rPr>
        <w:t xml:space="preserve"> de 20</w:t>
      </w:r>
      <w:r w:rsidR="007D6A00">
        <w:rPr>
          <w:b/>
        </w:rPr>
        <w:t>20</w:t>
      </w:r>
      <w:r>
        <w:rPr>
          <w:b/>
        </w:rPr>
        <w:t>.</w:t>
      </w:r>
    </w:p>
    <w:p w:rsidR="00EC6694" w:rsidRDefault="00EC6694" w:rsidP="00EC6694">
      <w:pPr>
        <w:jc w:val="center"/>
        <w:rPr>
          <w:b/>
        </w:rPr>
      </w:pPr>
    </w:p>
    <w:p w:rsidR="00EC6694" w:rsidRDefault="00EC6694" w:rsidP="00EC6694">
      <w:pPr>
        <w:jc w:val="center"/>
        <w:rPr>
          <w:b/>
        </w:rPr>
      </w:pPr>
      <w:r w:rsidRPr="00D108FD">
        <w:rPr>
          <w:b/>
        </w:rPr>
        <w:lastRenderedPageBreak/>
        <w:t xml:space="preserve">Ejecución Presupuestaria por </w:t>
      </w:r>
      <w:r>
        <w:rPr>
          <w:b/>
        </w:rPr>
        <w:t xml:space="preserve">Entidad y </w:t>
      </w:r>
      <w:r w:rsidRPr="00D108FD">
        <w:rPr>
          <w:b/>
        </w:rPr>
        <w:t>Programa</w:t>
      </w:r>
      <w:r>
        <w:rPr>
          <w:b/>
        </w:rPr>
        <w:t>s Institucionales</w:t>
      </w:r>
    </w:p>
    <w:p w:rsidR="00EC6694" w:rsidRDefault="00EC6694" w:rsidP="00EC6694">
      <w:pPr>
        <w:jc w:val="center"/>
        <w:rPr>
          <w:b/>
        </w:rPr>
      </w:pPr>
      <w:r w:rsidRPr="00D108FD">
        <w:rPr>
          <w:b/>
        </w:rPr>
        <w:t>Ejercicio Fiscal 201</w:t>
      </w:r>
      <w:r w:rsidR="003A1052">
        <w:rPr>
          <w:b/>
        </w:rPr>
        <w:t>9</w:t>
      </w:r>
    </w:p>
    <w:p w:rsidR="00EC6694" w:rsidRDefault="00EC6694" w:rsidP="00EC6694">
      <w:pPr>
        <w:jc w:val="center"/>
        <w:rPr>
          <w:b/>
        </w:rPr>
      </w:pPr>
    </w:p>
    <w:p w:rsidR="00625719" w:rsidRDefault="00625719" w:rsidP="00625719">
      <w:pPr>
        <w:jc w:val="both"/>
        <w:rPr>
          <w:b/>
        </w:rPr>
      </w:pPr>
      <w:r w:rsidRPr="00D108FD">
        <w:rPr>
          <w:b/>
        </w:rPr>
        <w:t>Presidencia de la República</w:t>
      </w:r>
      <w:r>
        <w:rPr>
          <w:b/>
        </w:rPr>
        <w:t>:</w:t>
      </w:r>
    </w:p>
    <w:p w:rsidR="00625719" w:rsidRPr="00D108FD" w:rsidRDefault="00625719" w:rsidP="00625719">
      <w:pPr>
        <w:jc w:val="both"/>
        <w:rPr>
          <w:b/>
        </w:rPr>
      </w:pPr>
    </w:p>
    <w:p w:rsidR="00625719" w:rsidRDefault="00625719" w:rsidP="00625719">
      <w:pPr>
        <w:jc w:val="both"/>
      </w:pPr>
      <w:r>
        <w:t>Al cierre preliminar, e</w:t>
      </w:r>
      <w:r w:rsidRPr="00D108FD">
        <w:t xml:space="preserve">sta entidad tuvo un porcentaje de ejecución total del </w:t>
      </w:r>
      <w:r>
        <w:t>104.6</w:t>
      </w:r>
      <w:r w:rsidRPr="00D108FD">
        <w:t>%</w:t>
      </w:r>
      <w:r>
        <w:t xml:space="preserve"> del presupuesto aprobado al inicio de 2019.</w:t>
      </w:r>
    </w:p>
    <w:p w:rsidR="00625719" w:rsidRPr="00D108FD" w:rsidRDefault="00625719" w:rsidP="00625719">
      <w:pPr>
        <w:jc w:val="both"/>
      </w:pPr>
    </w:p>
    <w:p w:rsidR="00625719" w:rsidRDefault="00625719" w:rsidP="00625719">
      <w:pPr>
        <w:jc w:val="both"/>
      </w:pPr>
      <w:r w:rsidRPr="00D108FD">
        <w:t xml:space="preserve">El programa que </w:t>
      </w:r>
      <w:r>
        <w:t>mostró</w:t>
      </w:r>
      <w:r w:rsidRPr="00D108FD">
        <w:t xml:space="preserve"> </w:t>
      </w:r>
      <w:r>
        <w:t>el mayor gasto</w:t>
      </w:r>
      <w:r w:rsidRPr="00D108FD">
        <w:t xml:space="preserve"> fue el de “Seguridad Presidencial y Vicepresidencial” con </w:t>
      </w:r>
      <w:r>
        <w:t>Q</w:t>
      </w:r>
      <w:r w:rsidR="00CA70BF">
        <w:t>.</w:t>
      </w:r>
      <w:r w:rsidRPr="00D108FD">
        <w:t>1</w:t>
      </w:r>
      <w:r>
        <w:t>91.0</w:t>
      </w:r>
      <w:r w:rsidRPr="00D108FD">
        <w:t xml:space="preserve"> millones y </w:t>
      </w:r>
      <w:r>
        <w:t xml:space="preserve">alcanzó </w:t>
      </w:r>
      <w:r w:rsidRPr="00D108FD">
        <w:t xml:space="preserve">una ejecución del </w:t>
      </w:r>
      <w:r>
        <w:t>108.8</w:t>
      </w:r>
      <w:r w:rsidRPr="00D108FD">
        <w:t>%</w:t>
      </w:r>
      <w:r>
        <w:t xml:space="preserve"> </w:t>
      </w:r>
      <w:r w:rsidR="00CA70BF">
        <w:t>con</w:t>
      </w:r>
      <w:r>
        <w:t xml:space="preserve"> relación al presupuesto aprobado</w:t>
      </w:r>
      <w:r w:rsidRPr="00D108FD">
        <w:t xml:space="preserve">.  </w:t>
      </w:r>
      <w:r>
        <w:t>La mayor parte de los programas de esta entidad experimentaron una ejecución mayor a lo plasmado en el presupuesto al inicio del año</w:t>
      </w:r>
      <w:r w:rsidRPr="00D108FD">
        <w:t>.</w:t>
      </w:r>
    </w:p>
    <w:p w:rsidR="00625719" w:rsidRPr="00D108FD" w:rsidRDefault="00625719" w:rsidP="00625719">
      <w:pPr>
        <w:jc w:val="both"/>
      </w:pPr>
    </w:p>
    <w:p w:rsidR="00625719" w:rsidRDefault="00625719" w:rsidP="00625719">
      <w:pPr>
        <w:jc w:val="both"/>
      </w:pPr>
      <w:r w:rsidRPr="00D108FD">
        <w:t xml:space="preserve">El programa de “Dirección y Coordinación Ejecutiva” tuvo una </w:t>
      </w:r>
      <w:r>
        <w:t>ejecución menor al presupuesto aprobado de</w:t>
      </w:r>
      <w:r w:rsidRPr="00D108FD">
        <w:t xml:space="preserve"> </w:t>
      </w:r>
      <w:r>
        <w:t>Q</w:t>
      </w:r>
      <w:r w:rsidR="00CA70BF">
        <w:t>.</w:t>
      </w:r>
      <w:r>
        <w:t>9</w:t>
      </w:r>
      <w:r w:rsidRPr="00D108FD">
        <w:t>.2 millones</w:t>
      </w:r>
      <w:r>
        <w:t xml:space="preserve">, es decir, que </w:t>
      </w:r>
      <w:r w:rsidR="00CA70BF">
        <w:t>ejecutó</w:t>
      </w:r>
      <w:r w:rsidRPr="00D108FD">
        <w:t xml:space="preserve"> </w:t>
      </w:r>
      <w:r>
        <w:t>Q</w:t>
      </w:r>
      <w:r w:rsidR="00CA70BF">
        <w:t>.</w:t>
      </w:r>
      <w:r>
        <w:t>23.8</w:t>
      </w:r>
      <w:r w:rsidRPr="00D108FD">
        <w:t xml:space="preserve"> millones equivalentes al 7</w:t>
      </w:r>
      <w:r>
        <w:t>2.1</w:t>
      </w:r>
      <w:r w:rsidRPr="00D108FD">
        <w:t>%</w:t>
      </w:r>
      <w:r>
        <w:t xml:space="preserve"> del presupuesto aprobado</w:t>
      </w:r>
      <w:r w:rsidRPr="00D108FD">
        <w:t>.</w:t>
      </w:r>
    </w:p>
    <w:p w:rsidR="00625719" w:rsidRPr="00D108FD" w:rsidRDefault="00625719" w:rsidP="00625719">
      <w:pPr>
        <w:jc w:val="both"/>
      </w:pPr>
    </w:p>
    <w:p w:rsidR="00625719" w:rsidRDefault="00625719" w:rsidP="00625719">
      <w:pPr>
        <w:jc w:val="both"/>
      </w:pPr>
      <w:r w:rsidRPr="00D108FD">
        <w:t xml:space="preserve">Finalmente, el programa denominado “Partidas no asignables a Programas” tuvo una ejecución de </w:t>
      </w:r>
      <w:r>
        <w:t>Q</w:t>
      </w:r>
      <w:r w:rsidR="00CA70BF">
        <w:t>.</w:t>
      </w:r>
      <w:r w:rsidRPr="00D108FD">
        <w:t xml:space="preserve">2.4 millones, </w:t>
      </w:r>
      <w:r>
        <w:t>superior en Q</w:t>
      </w:r>
      <w:r w:rsidR="00CA70BF">
        <w:t>.</w:t>
      </w:r>
      <w:r>
        <w:t xml:space="preserve">1.1 millones a lo estipulado en el presupuesto aprobado </w:t>
      </w:r>
      <w:r w:rsidRPr="00D108FD">
        <w:t>con</w:t>
      </w:r>
      <w:r>
        <w:t xml:space="preserve"> un porcentaje de 187.5%.</w:t>
      </w:r>
    </w:p>
    <w:p w:rsidR="00625719" w:rsidRPr="00D108FD" w:rsidRDefault="00625719" w:rsidP="00625719">
      <w:pPr>
        <w:jc w:val="both"/>
      </w:pPr>
    </w:p>
    <w:tbl>
      <w:tblPr>
        <w:tblW w:w="9346" w:type="dxa"/>
        <w:tblInd w:w="80" w:type="dxa"/>
        <w:tblCellMar>
          <w:left w:w="70" w:type="dxa"/>
          <w:right w:w="70" w:type="dxa"/>
        </w:tblCellMar>
        <w:tblLook w:val="04A0" w:firstRow="1" w:lastRow="0" w:firstColumn="1" w:lastColumn="0" w:noHBand="0" w:noVBand="1"/>
      </w:tblPr>
      <w:tblGrid>
        <w:gridCol w:w="5093"/>
        <w:gridCol w:w="1134"/>
        <w:gridCol w:w="1134"/>
        <w:gridCol w:w="1134"/>
        <w:gridCol w:w="851"/>
      </w:tblGrid>
      <w:tr w:rsidR="00625719" w:rsidRPr="00A25C80" w:rsidTr="00B45D20">
        <w:trPr>
          <w:trHeight w:val="251"/>
        </w:trPr>
        <w:tc>
          <w:tcPr>
            <w:tcW w:w="5093"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A25C80" w:rsidRDefault="00625719" w:rsidP="00F161D7">
            <w:pPr>
              <w:jc w:val="center"/>
              <w:rPr>
                <w:b/>
                <w:bCs/>
                <w:color w:val="000000"/>
                <w:sz w:val="14"/>
                <w:szCs w:val="20"/>
                <w:lang w:val="es-GT" w:eastAsia="es-GT"/>
              </w:rPr>
            </w:pPr>
            <w:r w:rsidRPr="00A25C80">
              <w:rPr>
                <w:b/>
                <w:bCs/>
                <w:color w:val="000000"/>
                <w:sz w:val="14"/>
                <w:szCs w:val="20"/>
                <w:lang w:val="es-GT" w:eastAsia="es-GT"/>
              </w:rPr>
              <w:t>DESCRIPCION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A25C80" w:rsidRDefault="00625719" w:rsidP="00F161D7">
            <w:pPr>
              <w:jc w:val="center"/>
              <w:rPr>
                <w:b/>
                <w:bCs/>
                <w:color w:val="000000"/>
                <w:sz w:val="14"/>
                <w:szCs w:val="20"/>
                <w:lang w:val="es-GT" w:eastAsia="es-GT"/>
              </w:rPr>
            </w:pPr>
            <w:r w:rsidRPr="00A25C80">
              <w:rPr>
                <w:b/>
                <w:bCs/>
                <w:color w:val="000000"/>
                <w:sz w:val="14"/>
                <w:szCs w:val="20"/>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A25C80" w:rsidRDefault="00625719" w:rsidP="00F161D7">
            <w:pPr>
              <w:jc w:val="center"/>
              <w:rPr>
                <w:b/>
                <w:bCs/>
                <w:color w:val="000000"/>
                <w:sz w:val="14"/>
                <w:szCs w:val="20"/>
                <w:lang w:val="es-GT" w:eastAsia="es-GT"/>
              </w:rPr>
            </w:pPr>
            <w:r w:rsidRPr="00A25C80">
              <w:rPr>
                <w:b/>
                <w:bCs/>
                <w:color w:val="000000"/>
                <w:sz w:val="14"/>
                <w:szCs w:val="20"/>
                <w:lang w:val="es-GT" w:eastAsia="es-GT"/>
              </w:rPr>
              <w:t>EJECUCIÓN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A25C80" w:rsidRDefault="00625719" w:rsidP="00F161D7">
            <w:pPr>
              <w:jc w:val="center"/>
              <w:rPr>
                <w:b/>
                <w:bCs/>
                <w:color w:val="000000"/>
                <w:sz w:val="14"/>
                <w:szCs w:val="20"/>
                <w:lang w:val="es-GT" w:eastAsia="es-GT"/>
              </w:rPr>
            </w:pPr>
            <w:r w:rsidRPr="00A25C80">
              <w:rPr>
                <w:b/>
                <w:bCs/>
                <w:color w:val="000000"/>
                <w:sz w:val="14"/>
                <w:szCs w:val="20"/>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hideMark/>
          </w:tcPr>
          <w:p w:rsidR="00625719" w:rsidRPr="00A25C80" w:rsidRDefault="00625719" w:rsidP="00F161D7">
            <w:pPr>
              <w:jc w:val="center"/>
              <w:rPr>
                <w:b/>
                <w:bCs/>
                <w:color w:val="000000"/>
                <w:sz w:val="14"/>
                <w:szCs w:val="20"/>
                <w:lang w:val="es-GT" w:eastAsia="es-GT"/>
              </w:rPr>
            </w:pPr>
            <w:r w:rsidRPr="00A25C80">
              <w:rPr>
                <w:b/>
                <w:bCs/>
                <w:color w:val="000000"/>
                <w:sz w:val="14"/>
                <w:szCs w:val="20"/>
                <w:lang w:val="es-GT" w:eastAsia="es-GT"/>
              </w:rPr>
              <w:t>% Ejec</w:t>
            </w:r>
          </w:p>
        </w:tc>
      </w:tr>
      <w:tr w:rsidR="00625719" w:rsidRPr="00A25C80" w:rsidTr="00B45D20">
        <w:trPr>
          <w:trHeight w:val="251"/>
        </w:trPr>
        <w:tc>
          <w:tcPr>
            <w:tcW w:w="5093" w:type="dxa"/>
            <w:tcBorders>
              <w:top w:val="nil"/>
              <w:left w:val="single" w:sz="8" w:space="0" w:color="auto"/>
              <w:bottom w:val="nil"/>
              <w:right w:val="single" w:sz="4" w:space="0" w:color="auto"/>
            </w:tcBorders>
            <w:shd w:val="clear" w:color="FFFFFF" w:fill="FFFFFF"/>
            <w:noWrap/>
            <w:vAlign w:val="bottom"/>
            <w:hideMark/>
          </w:tcPr>
          <w:p w:rsidR="00625719" w:rsidRPr="00A25C80" w:rsidRDefault="00625719" w:rsidP="00F161D7">
            <w:pPr>
              <w:rPr>
                <w:b/>
                <w:bCs/>
                <w:color w:val="333333"/>
                <w:sz w:val="14"/>
                <w:szCs w:val="20"/>
                <w:lang w:val="es-GT" w:eastAsia="es-GT"/>
              </w:rPr>
            </w:pPr>
            <w:r w:rsidRPr="00A25C80">
              <w:rPr>
                <w:b/>
                <w:bCs/>
                <w:color w:val="333333"/>
                <w:sz w:val="14"/>
                <w:szCs w:val="20"/>
                <w:lang w:val="es-GT" w:eastAsia="es-GT"/>
              </w:rPr>
              <w:t>PRESIDENCIA DE LA REPÚBLICA</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b/>
                <w:bCs/>
                <w:color w:val="333333"/>
                <w:sz w:val="14"/>
                <w:szCs w:val="20"/>
                <w:lang w:val="es-GT" w:eastAsia="es-GT"/>
              </w:rPr>
            </w:pPr>
            <w:r w:rsidRPr="00A25C80">
              <w:rPr>
                <w:b/>
                <w:bCs/>
                <w:color w:val="333333"/>
                <w:sz w:val="14"/>
                <w:szCs w:val="20"/>
                <w:lang w:val="es-GT" w:eastAsia="es-GT"/>
              </w:rPr>
              <w:t>231.0</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b/>
                <w:bCs/>
                <w:color w:val="333333"/>
                <w:sz w:val="14"/>
                <w:szCs w:val="20"/>
                <w:lang w:val="es-GT" w:eastAsia="es-GT"/>
              </w:rPr>
            </w:pPr>
            <w:r w:rsidRPr="00A25C80">
              <w:rPr>
                <w:b/>
                <w:bCs/>
                <w:color w:val="333333"/>
                <w:sz w:val="14"/>
                <w:szCs w:val="20"/>
                <w:lang w:val="es-GT" w:eastAsia="es-GT"/>
              </w:rPr>
              <w:t>241.6</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b/>
                <w:bCs/>
                <w:color w:val="333333"/>
                <w:sz w:val="14"/>
                <w:szCs w:val="20"/>
                <w:lang w:val="es-GT" w:eastAsia="es-GT"/>
              </w:rPr>
            </w:pPr>
            <w:r w:rsidRPr="00A25C80">
              <w:rPr>
                <w:b/>
                <w:bCs/>
                <w:color w:val="333333"/>
                <w:sz w:val="14"/>
                <w:szCs w:val="20"/>
                <w:lang w:val="es-GT" w:eastAsia="es-GT"/>
              </w:rPr>
              <w:t>-10.6</w:t>
            </w:r>
          </w:p>
        </w:tc>
        <w:tc>
          <w:tcPr>
            <w:tcW w:w="851" w:type="dxa"/>
            <w:tcBorders>
              <w:top w:val="nil"/>
              <w:left w:val="nil"/>
              <w:bottom w:val="nil"/>
              <w:right w:val="single" w:sz="8" w:space="0" w:color="auto"/>
            </w:tcBorders>
            <w:shd w:val="clear" w:color="FFFFFF" w:fill="FFFFFF"/>
            <w:noWrap/>
            <w:vAlign w:val="bottom"/>
            <w:hideMark/>
          </w:tcPr>
          <w:p w:rsidR="00625719" w:rsidRPr="00A25C80" w:rsidRDefault="00625719" w:rsidP="00F161D7">
            <w:pPr>
              <w:jc w:val="right"/>
              <w:rPr>
                <w:b/>
                <w:bCs/>
                <w:color w:val="333333"/>
                <w:sz w:val="14"/>
                <w:szCs w:val="20"/>
                <w:lang w:val="es-GT" w:eastAsia="es-GT"/>
              </w:rPr>
            </w:pPr>
            <w:r w:rsidRPr="00A25C80">
              <w:rPr>
                <w:b/>
                <w:bCs/>
                <w:color w:val="333333"/>
                <w:sz w:val="14"/>
                <w:szCs w:val="20"/>
                <w:lang w:val="es-GT" w:eastAsia="es-GT"/>
              </w:rPr>
              <w:t>104.6%</w:t>
            </w:r>
          </w:p>
        </w:tc>
      </w:tr>
      <w:tr w:rsidR="00625719" w:rsidRPr="00A25C80" w:rsidTr="00B45D20">
        <w:trPr>
          <w:trHeight w:val="251"/>
        </w:trPr>
        <w:tc>
          <w:tcPr>
            <w:tcW w:w="5093" w:type="dxa"/>
            <w:tcBorders>
              <w:top w:val="nil"/>
              <w:left w:val="single" w:sz="8" w:space="0" w:color="auto"/>
              <w:bottom w:val="nil"/>
              <w:right w:val="single" w:sz="4" w:space="0" w:color="auto"/>
            </w:tcBorders>
            <w:shd w:val="clear" w:color="FFFFFF" w:fill="FFFFFF"/>
            <w:noWrap/>
            <w:vAlign w:val="bottom"/>
            <w:hideMark/>
          </w:tcPr>
          <w:p w:rsidR="00625719" w:rsidRPr="00A25C80" w:rsidRDefault="00625719" w:rsidP="00F161D7">
            <w:pPr>
              <w:ind w:firstLineChars="200" w:firstLine="280"/>
              <w:rPr>
                <w:color w:val="333333"/>
                <w:sz w:val="14"/>
                <w:szCs w:val="20"/>
                <w:lang w:val="es-GT" w:eastAsia="es-GT"/>
              </w:rPr>
            </w:pPr>
            <w:r w:rsidRPr="00A25C80">
              <w:rPr>
                <w:color w:val="333333"/>
                <w:sz w:val="14"/>
                <w:szCs w:val="20"/>
                <w:lang w:val="es-GT" w:eastAsia="es-GT"/>
              </w:rPr>
              <w:t>DIRECCIÓN Y COORDINACIÓN EJECUTIVA</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33.1</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23.8</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9.2</w:t>
            </w:r>
          </w:p>
        </w:tc>
        <w:tc>
          <w:tcPr>
            <w:tcW w:w="851" w:type="dxa"/>
            <w:tcBorders>
              <w:top w:val="nil"/>
              <w:left w:val="nil"/>
              <w:bottom w:val="nil"/>
              <w:right w:val="single" w:sz="8"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72.1%</w:t>
            </w:r>
          </w:p>
        </w:tc>
      </w:tr>
      <w:tr w:rsidR="00625719" w:rsidRPr="00A25C80" w:rsidTr="00B45D20">
        <w:trPr>
          <w:trHeight w:val="251"/>
        </w:trPr>
        <w:tc>
          <w:tcPr>
            <w:tcW w:w="5093" w:type="dxa"/>
            <w:tcBorders>
              <w:top w:val="nil"/>
              <w:left w:val="single" w:sz="8" w:space="0" w:color="auto"/>
              <w:bottom w:val="nil"/>
              <w:right w:val="single" w:sz="4" w:space="0" w:color="auto"/>
            </w:tcBorders>
            <w:shd w:val="clear" w:color="FFFFFF" w:fill="FFFFFF"/>
            <w:noWrap/>
            <w:vAlign w:val="bottom"/>
            <w:hideMark/>
          </w:tcPr>
          <w:p w:rsidR="00625719" w:rsidRPr="00A25C80" w:rsidRDefault="00625719" w:rsidP="00F161D7">
            <w:pPr>
              <w:ind w:firstLineChars="200" w:firstLine="280"/>
              <w:rPr>
                <w:color w:val="333333"/>
                <w:sz w:val="14"/>
                <w:szCs w:val="20"/>
                <w:lang w:val="es-GT" w:eastAsia="es-GT"/>
              </w:rPr>
            </w:pPr>
            <w:r w:rsidRPr="00A25C80">
              <w:rPr>
                <w:color w:val="333333"/>
                <w:sz w:val="14"/>
                <w:szCs w:val="20"/>
                <w:lang w:val="es-GT" w:eastAsia="es-GT"/>
              </w:rPr>
              <w:t>SEGURIDAD PRESIDENCIAL Y VICEPRESIDENCIAL</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175.6</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191.0</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-15.4</w:t>
            </w:r>
          </w:p>
        </w:tc>
        <w:tc>
          <w:tcPr>
            <w:tcW w:w="851" w:type="dxa"/>
            <w:tcBorders>
              <w:top w:val="nil"/>
              <w:left w:val="nil"/>
              <w:bottom w:val="nil"/>
              <w:right w:val="single" w:sz="8"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108.8%</w:t>
            </w:r>
          </w:p>
        </w:tc>
      </w:tr>
      <w:tr w:rsidR="00625719" w:rsidRPr="00A25C80" w:rsidTr="00B45D20">
        <w:trPr>
          <w:trHeight w:val="251"/>
        </w:trPr>
        <w:tc>
          <w:tcPr>
            <w:tcW w:w="5093" w:type="dxa"/>
            <w:tcBorders>
              <w:top w:val="nil"/>
              <w:left w:val="single" w:sz="8" w:space="0" w:color="auto"/>
              <w:bottom w:val="nil"/>
              <w:right w:val="single" w:sz="4" w:space="0" w:color="auto"/>
            </w:tcBorders>
            <w:shd w:val="clear" w:color="FFFFFF" w:fill="FFFFFF"/>
            <w:noWrap/>
            <w:vAlign w:val="bottom"/>
            <w:hideMark/>
          </w:tcPr>
          <w:p w:rsidR="00625719" w:rsidRPr="00A25C80" w:rsidRDefault="00625719" w:rsidP="00F161D7">
            <w:pPr>
              <w:ind w:firstLineChars="200" w:firstLine="280"/>
              <w:rPr>
                <w:color w:val="333333"/>
                <w:sz w:val="14"/>
                <w:szCs w:val="20"/>
                <w:lang w:val="es-GT" w:eastAsia="es-GT"/>
              </w:rPr>
            </w:pPr>
            <w:r w:rsidRPr="00A25C80">
              <w:rPr>
                <w:color w:val="333333"/>
                <w:sz w:val="14"/>
                <w:szCs w:val="20"/>
                <w:lang w:val="es-GT" w:eastAsia="es-GT"/>
              </w:rPr>
              <w:t>SERVICIOS DE TRANSPARENCIA Y GOBIERNO ELECTRÓNICO</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10.5</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12.0</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-1.5</w:t>
            </w:r>
          </w:p>
        </w:tc>
        <w:tc>
          <w:tcPr>
            <w:tcW w:w="851" w:type="dxa"/>
            <w:tcBorders>
              <w:top w:val="nil"/>
              <w:left w:val="nil"/>
              <w:bottom w:val="nil"/>
              <w:right w:val="single" w:sz="8"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114.0%</w:t>
            </w:r>
          </w:p>
        </w:tc>
      </w:tr>
      <w:tr w:rsidR="00625719" w:rsidRPr="00A25C80" w:rsidTr="00B45D20">
        <w:trPr>
          <w:trHeight w:val="251"/>
        </w:trPr>
        <w:tc>
          <w:tcPr>
            <w:tcW w:w="5093" w:type="dxa"/>
            <w:tcBorders>
              <w:top w:val="nil"/>
              <w:left w:val="single" w:sz="8" w:space="0" w:color="auto"/>
              <w:bottom w:val="nil"/>
              <w:right w:val="single" w:sz="4" w:space="0" w:color="auto"/>
            </w:tcBorders>
            <w:shd w:val="clear" w:color="FFFFFF" w:fill="FFFFFF"/>
            <w:noWrap/>
            <w:vAlign w:val="bottom"/>
            <w:hideMark/>
          </w:tcPr>
          <w:p w:rsidR="00625719" w:rsidRPr="00A25C80" w:rsidRDefault="00625719" w:rsidP="00F161D7">
            <w:pPr>
              <w:ind w:firstLineChars="200" w:firstLine="280"/>
              <w:rPr>
                <w:color w:val="333333"/>
                <w:sz w:val="14"/>
                <w:szCs w:val="20"/>
                <w:lang w:val="es-GT" w:eastAsia="es-GT"/>
              </w:rPr>
            </w:pPr>
            <w:r w:rsidRPr="00A25C80">
              <w:rPr>
                <w:color w:val="333333"/>
                <w:sz w:val="14"/>
                <w:szCs w:val="20"/>
                <w:lang w:val="es-GT" w:eastAsia="es-GT"/>
              </w:rPr>
              <w:t>ATENCIÓN A LA CONFLICTIVIDAD SOCIAL</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10.5</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12.4</w:t>
            </w:r>
          </w:p>
        </w:tc>
        <w:tc>
          <w:tcPr>
            <w:tcW w:w="1134" w:type="dxa"/>
            <w:tcBorders>
              <w:top w:val="nil"/>
              <w:left w:val="nil"/>
              <w:bottom w:val="nil"/>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-1.9</w:t>
            </w:r>
          </w:p>
        </w:tc>
        <w:tc>
          <w:tcPr>
            <w:tcW w:w="851" w:type="dxa"/>
            <w:tcBorders>
              <w:top w:val="nil"/>
              <w:left w:val="nil"/>
              <w:bottom w:val="nil"/>
              <w:right w:val="single" w:sz="8"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118.0%</w:t>
            </w:r>
          </w:p>
        </w:tc>
      </w:tr>
      <w:tr w:rsidR="00625719" w:rsidRPr="00A25C80" w:rsidTr="00B45D20">
        <w:trPr>
          <w:trHeight w:val="264"/>
        </w:trPr>
        <w:tc>
          <w:tcPr>
            <w:tcW w:w="5093" w:type="dxa"/>
            <w:tcBorders>
              <w:top w:val="nil"/>
              <w:left w:val="single" w:sz="8" w:space="0" w:color="auto"/>
              <w:bottom w:val="single" w:sz="8" w:space="0" w:color="auto"/>
              <w:right w:val="single" w:sz="4" w:space="0" w:color="auto"/>
            </w:tcBorders>
            <w:shd w:val="clear" w:color="FFFFFF" w:fill="FFFFFF"/>
            <w:noWrap/>
            <w:vAlign w:val="bottom"/>
            <w:hideMark/>
          </w:tcPr>
          <w:p w:rsidR="00625719" w:rsidRPr="00A25C80" w:rsidRDefault="00625719" w:rsidP="00F161D7">
            <w:pPr>
              <w:ind w:firstLineChars="200" w:firstLine="280"/>
              <w:rPr>
                <w:color w:val="333333"/>
                <w:sz w:val="14"/>
                <w:szCs w:val="20"/>
                <w:lang w:val="es-GT" w:eastAsia="es-GT"/>
              </w:rPr>
            </w:pPr>
            <w:r w:rsidRPr="00A25C80">
              <w:rPr>
                <w:color w:val="333333"/>
                <w:sz w:val="14"/>
                <w:szCs w:val="20"/>
                <w:lang w:val="es-GT" w:eastAsia="es-GT"/>
              </w:rPr>
              <w:t>PARTIDAS NO ASIGNABLES A PROGRAMAS</w:t>
            </w:r>
          </w:p>
        </w:tc>
        <w:tc>
          <w:tcPr>
            <w:tcW w:w="1134"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1.3</w:t>
            </w:r>
          </w:p>
        </w:tc>
        <w:tc>
          <w:tcPr>
            <w:tcW w:w="1134" w:type="dxa"/>
            <w:tcBorders>
              <w:top w:val="nil"/>
              <w:left w:val="nil"/>
              <w:bottom w:val="single" w:sz="8" w:space="0" w:color="auto"/>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2.4</w:t>
            </w:r>
          </w:p>
        </w:tc>
        <w:tc>
          <w:tcPr>
            <w:tcW w:w="1134" w:type="dxa"/>
            <w:tcBorders>
              <w:top w:val="nil"/>
              <w:left w:val="nil"/>
              <w:bottom w:val="single" w:sz="8" w:space="0" w:color="auto"/>
              <w:right w:val="single" w:sz="4"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-1.1</w:t>
            </w:r>
          </w:p>
        </w:tc>
        <w:tc>
          <w:tcPr>
            <w:tcW w:w="851" w:type="dxa"/>
            <w:tcBorders>
              <w:top w:val="nil"/>
              <w:left w:val="nil"/>
              <w:bottom w:val="single" w:sz="8" w:space="0" w:color="auto"/>
              <w:right w:val="single" w:sz="8" w:space="0" w:color="auto"/>
            </w:tcBorders>
            <w:shd w:val="clear" w:color="FFFFFF" w:fill="FFFFFF"/>
            <w:noWrap/>
            <w:vAlign w:val="bottom"/>
            <w:hideMark/>
          </w:tcPr>
          <w:p w:rsidR="00625719" w:rsidRPr="00A25C80" w:rsidRDefault="00625719" w:rsidP="00F161D7">
            <w:pPr>
              <w:jc w:val="right"/>
              <w:rPr>
                <w:color w:val="333333"/>
                <w:sz w:val="14"/>
                <w:szCs w:val="20"/>
                <w:lang w:val="es-GT" w:eastAsia="es-GT"/>
              </w:rPr>
            </w:pPr>
            <w:r w:rsidRPr="00A25C80">
              <w:rPr>
                <w:color w:val="333333"/>
                <w:sz w:val="14"/>
                <w:szCs w:val="20"/>
                <w:lang w:val="es-GT" w:eastAsia="es-GT"/>
              </w:rPr>
              <w:t>187.5%</w:t>
            </w:r>
          </w:p>
        </w:tc>
      </w:tr>
    </w:tbl>
    <w:p w:rsidR="00625719" w:rsidRPr="004E678D" w:rsidRDefault="00625719" w:rsidP="00625719">
      <w:pPr>
        <w:jc w:val="both"/>
        <w:rPr>
          <w:sz w:val="18"/>
        </w:rPr>
      </w:pPr>
      <w:r w:rsidRPr="004E678D">
        <w:rPr>
          <w:sz w:val="18"/>
        </w:rPr>
        <w:t>Fuente: Ministerio de Finanzas Públicas</w:t>
      </w:r>
      <w:r>
        <w:rPr>
          <w:sz w:val="18"/>
        </w:rPr>
        <w:t>.</w:t>
      </w:r>
    </w:p>
    <w:p w:rsidR="00625719" w:rsidRPr="00D108FD" w:rsidRDefault="00625719" w:rsidP="00625719">
      <w:pPr>
        <w:jc w:val="both"/>
      </w:pPr>
    </w:p>
    <w:p w:rsidR="00625719" w:rsidRDefault="00625719" w:rsidP="00625719">
      <w:pPr>
        <w:jc w:val="both"/>
        <w:rPr>
          <w:b/>
        </w:rPr>
      </w:pPr>
      <w:r w:rsidRPr="00D108FD">
        <w:rPr>
          <w:b/>
        </w:rPr>
        <w:t>Ministerio de Relaciones Exteriores</w:t>
      </w:r>
      <w:r>
        <w:rPr>
          <w:b/>
        </w:rPr>
        <w:t>:</w:t>
      </w:r>
    </w:p>
    <w:p w:rsidR="00625719" w:rsidRPr="00D108FD" w:rsidRDefault="00625719" w:rsidP="00625719">
      <w:pPr>
        <w:jc w:val="both"/>
        <w:rPr>
          <w:b/>
        </w:rPr>
      </w:pPr>
    </w:p>
    <w:p w:rsidR="00625719" w:rsidRDefault="00625719" w:rsidP="00625719">
      <w:pPr>
        <w:jc w:val="both"/>
      </w:pPr>
      <w:r w:rsidRPr="00D108FD">
        <w:t>El Min</w:t>
      </w:r>
      <w:r>
        <w:t xml:space="preserve">isterio de Relaciones Exteriores </w:t>
      </w:r>
      <w:r w:rsidRPr="00D108FD">
        <w:t xml:space="preserve">tuvo un presupuesto </w:t>
      </w:r>
      <w:r>
        <w:t>aprobado de</w:t>
      </w:r>
      <w:r w:rsidRPr="00D108FD">
        <w:t xml:space="preserve"> </w:t>
      </w:r>
      <w:r>
        <w:t>Q</w:t>
      </w:r>
      <w:r w:rsidR="00CA70BF">
        <w:t>.</w:t>
      </w:r>
      <w:r>
        <w:t>577.7</w:t>
      </w:r>
      <w:r w:rsidRPr="00D108FD">
        <w:t xml:space="preserve"> millones y una ejecución al cierre </w:t>
      </w:r>
      <w:r>
        <w:t xml:space="preserve">preliminar </w:t>
      </w:r>
      <w:r w:rsidRPr="00D108FD">
        <w:t xml:space="preserve">de </w:t>
      </w:r>
      <w:r>
        <w:t>Q</w:t>
      </w:r>
      <w:r w:rsidR="00CA70BF">
        <w:t>.</w:t>
      </w:r>
      <w:r>
        <w:t>5</w:t>
      </w:r>
      <w:r w:rsidRPr="00D108FD">
        <w:t>43</w:t>
      </w:r>
      <w:r>
        <w:t>.1</w:t>
      </w:r>
      <w:r w:rsidRPr="00D108FD">
        <w:t>millones equivalentes al 9</w:t>
      </w:r>
      <w:r>
        <w:t>4.0</w:t>
      </w:r>
      <w:r w:rsidRPr="00D108FD">
        <w:t>%</w:t>
      </w:r>
      <w:r>
        <w:t>, se ubicó por debajo en Q</w:t>
      </w:r>
      <w:r w:rsidR="00CA70BF">
        <w:t>.</w:t>
      </w:r>
      <w:r>
        <w:t>34.6 millones</w:t>
      </w:r>
      <w:r w:rsidRPr="00D108FD">
        <w:t>.</w:t>
      </w:r>
    </w:p>
    <w:p w:rsidR="00625719" w:rsidRPr="00D108FD" w:rsidRDefault="00625719" w:rsidP="00625719">
      <w:pPr>
        <w:jc w:val="both"/>
      </w:pPr>
    </w:p>
    <w:p w:rsidR="00625719" w:rsidRDefault="00625719" w:rsidP="00625719">
      <w:pPr>
        <w:jc w:val="both"/>
      </w:pPr>
      <w:r w:rsidRPr="00D108FD">
        <w:t xml:space="preserve">Los programas </w:t>
      </w:r>
      <w:r>
        <w:t>que tuvieron la mayor ejecución</w:t>
      </w:r>
      <w:r w:rsidRPr="00D108FD">
        <w:t xml:space="preserve"> fueron: “Servicios de Política Exterior”</w:t>
      </w:r>
      <w:r>
        <w:t xml:space="preserve"> con un presupuesto aprobado de Q</w:t>
      </w:r>
      <w:r w:rsidR="00CA70BF">
        <w:t>.</w:t>
      </w:r>
      <w:r>
        <w:t>210.9 millones, ejecución de Q</w:t>
      </w:r>
      <w:r w:rsidR="00CA70BF">
        <w:t>.</w:t>
      </w:r>
      <w:r>
        <w:t xml:space="preserve">228.4 millones, equivalentes al 108.3%; </w:t>
      </w:r>
      <w:r w:rsidRPr="00D108FD">
        <w:t>y el de “Servicios Consulares y de Atención al Migrante” con presupuesto</w:t>
      </w:r>
      <w:r>
        <w:t xml:space="preserve"> aprobado de Q</w:t>
      </w:r>
      <w:r w:rsidR="00CA70BF">
        <w:t>.</w:t>
      </w:r>
      <w:r>
        <w:t xml:space="preserve">225.9 millones, </w:t>
      </w:r>
      <w:r w:rsidR="00CA70BF">
        <w:t xml:space="preserve">con una </w:t>
      </w:r>
      <w:r>
        <w:t>ejecución de Q</w:t>
      </w:r>
      <w:r w:rsidR="00CA70BF">
        <w:t>.</w:t>
      </w:r>
      <w:r>
        <w:t>178.0 millones, equivalentes al 78.8</w:t>
      </w:r>
      <w:r w:rsidRPr="00D108FD">
        <w:t xml:space="preserve">%.  </w:t>
      </w:r>
      <w:r>
        <w:t>La ejecución del</w:t>
      </w:r>
      <w:r w:rsidRPr="00D108FD">
        <w:t xml:space="preserve"> programa de “</w:t>
      </w:r>
      <w:r>
        <w:t>Actividades Centrales</w:t>
      </w:r>
      <w:r w:rsidRPr="00D108FD">
        <w:t xml:space="preserve">” </w:t>
      </w:r>
      <w:r>
        <w:t>superó el presupuesto aprobado en Q</w:t>
      </w:r>
      <w:r w:rsidR="00CA70BF">
        <w:t>.</w:t>
      </w:r>
      <w:r>
        <w:t>3.8 millones, con una ejecución del 105.4%</w:t>
      </w:r>
      <w:r w:rsidRPr="00D108FD">
        <w:t>.</w:t>
      </w:r>
    </w:p>
    <w:p w:rsidR="00625719" w:rsidRPr="00D108FD" w:rsidRDefault="00625719" w:rsidP="00625719">
      <w:pPr>
        <w:jc w:val="both"/>
      </w:pPr>
    </w:p>
    <w:p w:rsidR="00625719" w:rsidRDefault="00625719" w:rsidP="00625719">
      <w:pPr>
        <w:jc w:val="both"/>
      </w:pPr>
      <w:r w:rsidRPr="00D108FD">
        <w:t xml:space="preserve">El programa “Conservación y Demarcación de Límites Internacionales” tuvo una ejecución de </w:t>
      </w:r>
      <w:r>
        <w:t>Q</w:t>
      </w:r>
      <w:r w:rsidR="00CA70BF">
        <w:t>.</w:t>
      </w:r>
      <w:r w:rsidRPr="00D108FD">
        <w:t>14.</w:t>
      </w:r>
      <w:r>
        <w:t>6</w:t>
      </w:r>
      <w:r w:rsidRPr="00D108FD">
        <w:t xml:space="preserve"> millones equivalente al </w:t>
      </w:r>
      <w:r>
        <w:t>6</w:t>
      </w:r>
      <w:r w:rsidRPr="00D108FD">
        <w:t>9.9%.</w:t>
      </w:r>
    </w:p>
    <w:p w:rsidR="00625719" w:rsidRPr="00D108FD" w:rsidRDefault="00625719" w:rsidP="00625719">
      <w:pPr>
        <w:jc w:val="both"/>
      </w:pPr>
    </w:p>
    <w:p w:rsidR="00625719" w:rsidRDefault="00625719" w:rsidP="00625719">
      <w:pPr>
        <w:jc w:val="both"/>
      </w:pPr>
      <w:r w:rsidRPr="00D108FD">
        <w:lastRenderedPageBreak/>
        <w:t>Finalmente, el programa de “Partidas no Asignables a Programas” tuvo un presupuesto</w:t>
      </w:r>
      <w:r>
        <w:t xml:space="preserve"> aprobado</w:t>
      </w:r>
      <w:r w:rsidRPr="00D108FD">
        <w:t xml:space="preserve"> de </w:t>
      </w:r>
      <w:r>
        <w:t>Q</w:t>
      </w:r>
      <w:r w:rsidR="00CA70BF">
        <w:t>.</w:t>
      </w:r>
      <w:r w:rsidRPr="00D108FD">
        <w:t>4</w:t>
      </w:r>
      <w:r>
        <w:t>9</w:t>
      </w:r>
      <w:r w:rsidRPr="00D108FD">
        <w:t xml:space="preserve">.2 millones, </w:t>
      </w:r>
      <w:r>
        <w:t>con</w:t>
      </w:r>
      <w:r w:rsidRPr="00D108FD">
        <w:t xml:space="preserve"> una ejecución al final del año de </w:t>
      </w:r>
      <w:r>
        <w:t>Q</w:t>
      </w:r>
      <w:r w:rsidR="00CA70BF">
        <w:t>.</w:t>
      </w:r>
      <w:r>
        <w:t>47.5</w:t>
      </w:r>
      <w:r w:rsidRPr="00D108FD">
        <w:t xml:space="preserve"> millones equivalentes al 9</w:t>
      </w:r>
      <w:r>
        <w:t>6</w:t>
      </w:r>
      <w:r w:rsidRPr="00D108FD">
        <w:t>.5% de</w:t>
      </w:r>
      <w:r>
        <w:t>l presupuesto aprobado</w:t>
      </w:r>
      <w:r w:rsidRPr="00D108FD">
        <w:t>.</w:t>
      </w:r>
    </w:p>
    <w:p w:rsidR="00625719" w:rsidRPr="00D108FD" w:rsidRDefault="00625719" w:rsidP="00625719">
      <w:pPr>
        <w:jc w:val="both"/>
      </w:pPr>
    </w:p>
    <w:p w:rsidR="00625719" w:rsidRDefault="00625719" w:rsidP="00625719">
      <w:pPr>
        <w:jc w:val="both"/>
        <w:rPr>
          <w:rFonts w:ascii="Calibri" w:eastAsia="Calibri" w:hAnsi="Calibri"/>
          <w:sz w:val="20"/>
          <w:szCs w:val="20"/>
          <w:lang w:val="es-GT" w:eastAsia="es-GT"/>
        </w:rPr>
      </w:pPr>
      <w:r>
        <w:fldChar w:fldCharType="begin"/>
      </w:r>
      <w:r>
        <w:instrText xml:space="preserve"> LINK Excel.Sheet.12 "C:\\Users\\deefoper12\\Documents\\Mis Documentos\\2020\\DTF\\memoria de labores 2019\\Cuadros para cierre 2019.xlsx" "Entidad Programa!F15C2:F21C6" \a \f 4 \h  \* MERGEFORMAT </w:instrText>
      </w:r>
      <w:r>
        <w:fldChar w:fldCharType="separate"/>
      </w:r>
    </w:p>
    <w:tbl>
      <w:tblPr>
        <w:tblW w:w="9356" w:type="dxa"/>
        <w:tblInd w:w="70" w:type="dxa"/>
        <w:tblCellMar>
          <w:left w:w="70" w:type="dxa"/>
          <w:right w:w="70" w:type="dxa"/>
        </w:tblCellMar>
        <w:tblLook w:val="04A0" w:firstRow="1" w:lastRow="0" w:firstColumn="1" w:lastColumn="0" w:noHBand="0" w:noVBand="1"/>
      </w:tblPr>
      <w:tblGrid>
        <w:gridCol w:w="4820"/>
        <w:gridCol w:w="1276"/>
        <w:gridCol w:w="1275"/>
        <w:gridCol w:w="993"/>
        <w:gridCol w:w="992"/>
      </w:tblGrid>
      <w:tr w:rsidR="00625719" w:rsidRPr="00203569" w:rsidTr="00B45D20">
        <w:trPr>
          <w:trHeight w:val="300"/>
        </w:trPr>
        <w:tc>
          <w:tcPr>
            <w:tcW w:w="4820"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203569" w:rsidRDefault="00625719" w:rsidP="00F161D7">
            <w:pPr>
              <w:jc w:val="center"/>
              <w:rPr>
                <w:b/>
                <w:bCs/>
                <w:color w:val="000000"/>
                <w:sz w:val="16"/>
                <w:szCs w:val="20"/>
                <w:lang w:val="es-GT" w:eastAsia="es-GT"/>
              </w:rPr>
            </w:pPr>
            <w:r w:rsidRPr="00203569">
              <w:rPr>
                <w:b/>
                <w:bCs/>
                <w:color w:val="000000"/>
                <w:sz w:val="16"/>
                <w:szCs w:val="20"/>
                <w:lang w:val="es-GT" w:eastAsia="es-GT"/>
              </w:rPr>
              <w:t>DESCRIPCION</w:t>
            </w:r>
          </w:p>
        </w:tc>
        <w:tc>
          <w:tcPr>
            <w:tcW w:w="1276" w:type="dxa"/>
            <w:tcBorders>
              <w:top w:val="single" w:sz="8" w:space="0" w:color="auto"/>
              <w:left w:val="nil"/>
              <w:bottom w:val="single" w:sz="4" w:space="0" w:color="auto"/>
              <w:right w:val="single" w:sz="4" w:space="0" w:color="auto"/>
            </w:tcBorders>
            <w:shd w:val="clear" w:color="000000" w:fill="8DB4E2"/>
            <w:noWrap/>
            <w:hideMark/>
          </w:tcPr>
          <w:p w:rsidR="00625719" w:rsidRPr="00203569" w:rsidRDefault="00625719" w:rsidP="00F161D7">
            <w:pPr>
              <w:jc w:val="center"/>
              <w:rPr>
                <w:b/>
                <w:bCs/>
                <w:color w:val="000000"/>
                <w:sz w:val="16"/>
                <w:szCs w:val="20"/>
                <w:lang w:val="es-GT" w:eastAsia="es-GT"/>
              </w:rPr>
            </w:pPr>
            <w:r w:rsidRPr="00203569">
              <w:rPr>
                <w:b/>
                <w:bCs/>
                <w:color w:val="000000"/>
                <w:sz w:val="16"/>
                <w:szCs w:val="20"/>
                <w:lang w:val="es-GT" w:eastAsia="es-GT"/>
              </w:rPr>
              <w:t>ASIGNADO</w:t>
            </w:r>
          </w:p>
        </w:tc>
        <w:tc>
          <w:tcPr>
            <w:tcW w:w="1275" w:type="dxa"/>
            <w:tcBorders>
              <w:top w:val="single" w:sz="8" w:space="0" w:color="auto"/>
              <w:left w:val="nil"/>
              <w:bottom w:val="single" w:sz="4" w:space="0" w:color="auto"/>
              <w:right w:val="single" w:sz="4" w:space="0" w:color="auto"/>
            </w:tcBorders>
            <w:shd w:val="clear" w:color="000000" w:fill="8DB4E2"/>
            <w:noWrap/>
            <w:hideMark/>
          </w:tcPr>
          <w:p w:rsidR="00625719" w:rsidRPr="00203569" w:rsidRDefault="00625719" w:rsidP="00F161D7">
            <w:pPr>
              <w:jc w:val="center"/>
              <w:rPr>
                <w:b/>
                <w:bCs/>
                <w:color w:val="000000"/>
                <w:sz w:val="16"/>
                <w:szCs w:val="20"/>
                <w:lang w:val="es-GT" w:eastAsia="es-GT"/>
              </w:rPr>
            </w:pPr>
            <w:r w:rsidRPr="00203569">
              <w:rPr>
                <w:b/>
                <w:bCs/>
                <w:color w:val="000000"/>
                <w:sz w:val="16"/>
                <w:szCs w:val="20"/>
                <w:lang w:val="es-GT" w:eastAsia="es-GT"/>
              </w:rPr>
              <w:t>EJECUCIÓN</w:t>
            </w:r>
          </w:p>
        </w:tc>
        <w:tc>
          <w:tcPr>
            <w:tcW w:w="993" w:type="dxa"/>
            <w:tcBorders>
              <w:top w:val="single" w:sz="8" w:space="0" w:color="auto"/>
              <w:left w:val="nil"/>
              <w:bottom w:val="single" w:sz="4" w:space="0" w:color="auto"/>
              <w:right w:val="single" w:sz="4" w:space="0" w:color="auto"/>
            </w:tcBorders>
            <w:shd w:val="clear" w:color="000000" w:fill="8DB4E2"/>
            <w:noWrap/>
            <w:hideMark/>
          </w:tcPr>
          <w:p w:rsidR="00625719" w:rsidRPr="00203569" w:rsidRDefault="00625719" w:rsidP="00F161D7">
            <w:pPr>
              <w:jc w:val="center"/>
              <w:rPr>
                <w:b/>
                <w:bCs/>
                <w:color w:val="000000"/>
                <w:sz w:val="16"/>
                <w:szCs w:val="20"/>
                <w:lang w:val="es-GT" w:eastAsia="es-GT"/>
              </w:rPr>
            </w:pPr>
            <w:r w:rsidRPr="00203569">
              <w:rPr>
                <w:b/>
                <w:bCs/>
                <w:color w:val="000000"/>
                <w:sz w:val="16"/>
                <w:szCs w:val="20"/>
                <w:lang w:val="es-GT" w:eastAsia="es-GT"/>
              </w:rPr>
              <w:t>Diferencias</w:t>
            </w:r>
          </w:p>
        </w:tc>
        <w:tc>
          <w:tcPr>
            <w:tcW w:w="992" w:type="dxa"/>
            <w:tcBorders>
              <w:top w:val="single" w:sz="8" w:space="0" w:color="auto"/>
              <w:left w:val="nil"/>
              <w:bottom w:val="single" w:sz="4" w:space="0" w:color="auto"/>
              <w:right w:val="single" w:sz="8" w:space="0" w:color="auto"/>
            </w:tcBorders>
            <w:shd w:val="clear" w:color="000000" w:fill="8DB4E2"/>
            <w:noWrap/>
            <w:hideMark/>
          </w:tcPr>
          <w:p w:rsidR="00625719" w:rsidRPr="00203569" w:rsidRDefault="00625719" w:rsidP="00F161D7">
            <w:pPr>
              <w:jc w:val="center"/>
              <w:rPr>
                <w:b/>
                <w:bCs/>
                <w:color w:val="000000"/>
                <w:sz w:val="16"/>
                <w:szCs w:val="20"/>
                <w:lang w:val="es-GT" w:eastAsia="es-GT"/>
              </w:rPr>
            </w:pPr>
            <w:r w:rsidRPr="00203569">
              <w:rPr>
                <w:b/>
                <w:bCs/>
                <w:color w:val="000000"/>
                <w:sz w:val="16"/>
                <w:szCs w:val="20"/>
                <w:lang w:val="es-GT" w:eastAsia="es-GT"/>
              </w:rPr>
              <w:t>% Ejec</w:t>
            </w:r>
          </w:p>
        </w:tc>
      </w:tr>
      <w:tr w:rsidR="00625719" w:rsidRPr="00203569" w:rsidTr="00B45D20">
        <w:trPr>
          <w:trHeight w:val="300"/>
        </w:trPr>
        <w:tc>
          <w:tcPr>
            <w:tcW w:w="4820" w:type="dxa"/>
            <w:tcBorders>
              <w:top w:val="nil"/>
              <w:left w:val="single" w:sz="8" w:space="0" w:color="auto"/>
              <w:bottom w:val="nil"/>
              <w:right w:val="single" w:sz="4" w:space="0" w:color="auto"/>
            </w:tcBorders>
            <w:shd w:val="clear" w:color="FFFFFF" w:fill="FFFFFF"/>
            <w:noWrap/>
            <w:vAlign w:val="bottom"/>
            <w:hideMark/>
          </w:tcPr>
          <w:p w:rsidR="00625719" w:rsidRPr="00203569" w:rsidRDefault="00625719" w:rsidP="00F161D7">
            <w:pPr>
              <w:rPr>
                <w:b/>
                <w:bCs/>
                <w:color w:val="333333"/>
                <w:sz w:val="16"/>
                <w:szCs w:val="20"/>
                <w:lang w:val="es-GT" w:eastAsia="es-GT"/>
              </w:rPr>
            </w:pPr>
            <w:r w:rsidRPr="00203569">
              <w:rPr>
                <w:b/>
                <w:bCs/>
                <w:color w:val="333333"/>
                <w:sz w:val="16"/>
                <w:szCs w:val="20"/>
                <w:lang w:val="es-GT" w:eastAsia="es-GT"/>
              </w:rPr>
              <w:t>MINISTERIO DE RELACIONES EXTERIORES</w:t>
            </w:r>
          </w:p>
        </w:tc>
        <w:tc>
          <w:tcPr>
            <w:tcW w:w="1276"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b/>
                <w:bCs/>
                <w:color w:val="333333"/>
                <w:sz w:val="16"/>
                <w:szCs w:val="20"/>
                <w:lang w:val="es-GT" w:eastAsia="es-GT"/>
              </w:rPr>
            </w:pPr>
            <w:r w:rsidRPr="00203569">
              <w:rPr>
                <w:b/>
                <w:bCs/>
                <w:color w:val="333333"/>
                <w:sz w:val="16"/>
                <w:szCs w:val="20"/>
                <w:lang w:val="es-GT" w:eastAsia="es-GT"/>
              </w:rPr>
              <w:t>577.7</w:t>
            </w:r>
          </w:p>
        </w:tc>
        <w:tc>
          <w:tcPr>
            <w:tcW w:w="1275"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b/>
                <w:bCs/>
                <w:color w:val="333333"/>
                <w:sz w:val="16"/>
                <w:szCs w:val="20"/>
                <w:lang w:val="es-GT" w:eastAsia="es-GT"/>
              </w:rPr>
            </w:pPr>
            <w:r w:rsidRPr="00203569">
              <w:rPr>
                <w:b/>
                <w:bCs/>
                <w:color w:val="333333"/>
                <w:sz w:val="16"/>
                <w:szCs w:val="20"/>
                <w:lang w:val="es-GT" w:eastAsia="es-GT"/>
              </w:rPr>
              <w:t>543.1</w:t>
            </w:r>
          </w:p>
        </w:tc>
        <w:tc>
          <w:tcPr>
            <w:tcW w:w="993"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b/>
                <w:bCs/>
                <w:color w:val="333333"/>
                <w:sz w:val="16"/>
                <w:szCs w:val="20"/>
                <w:lang w:val="es-GT" w:eastAsia="es-GT"/>
              </w:rPr>
            </w:pPr>
            <w:r w:rsidRPr="00203569">
              <w:rPr>
                <w:b/>
                <w:bCs/>
                <w:color w:val="333333"/>
                <w:sz w:val="16"/>
                <w:szCs w:val="20"/>
                <w:lang w:val="es-GT" w:eastAsia="es-GT"/>
              </w:rPr>
              <w:t>34.6</w:t>
            </w:r>
          </w:p>
        </w:tc>
        <w:tc>
          <w:tcPr>
            <w:tcW w:w="992" w:type="dxa"/>
            <w:tcBorders>
              <w:top w:val="nil"/>
              <w:left w:val="nil"/>
              <w:bottom w:val="nil"/>
              <w:right w:val="single" w:sz="8" w:space="0" w:color="auto"/>
            </w:tcBorders>
            <w:shd w:val="clear" w:color="FFFFFF" w:fill="FFFFFF"/>
            <w:noWrap/>
            <w:vAlign w:val="bottom"/>
            <w:hideMark/>
          </w:tcPr>
          <w:p w:rsidR="00625719" w:rsidRPr="00203569" w:rsidRDefault="00625719" w:rsidP="00F161D7">
            <w:pPr>
              <w:jc w:val="right"/>
              <w:rPr>
                <w:b/>
                <w:bCs/>
                <w:color w:val="333333"/>
                <w:sz w:val="16"/>
                <w:szCs w:val="20"/>
                <w:lang w:val="es-GT" w:eastAsia="es-GT"/>
              </w:rPr>
            </w:pPr>
            <w:r w:rsidRPr="00203569">
              <w:rPr>
                <w:b/>
                <w:bCs/>
                <w:color w:val="333333"/>
                <w:sz w:val="16"/>
                <w:szCs w:val="20"/>
                <w:lang w:val="es-GT" w:eastAsia="es-GT"/>
              </w:rPr>
              <w:t>94.0%</w:t>
            </w:r>
          </w:p>
        </w:tc>
      </w:tr>
      <w:tr w:rsidR="00625719" w:rsidRPr="00203569" w:rsidTr="00B45D20">
        <w:trPr>
          <w:trHeight w:val="300"/>
        </w:trPr>
        <w:tc>
          <w:tcPr>
            <w:tcW w:w="4820" w:type="dxa"/>
            <w:tcBorders>
              <w:top w:val="nil"/>
              <w:left w:val="single" w:sz="8" w:space="0" w:color="auto"/>
              <w:bottom w:val="nil"/>
              <w:right w:val="single" w:sz="4" w:space="0" w:color="auto"/>
            </w:tcBorders>
            <w:shd w:val="clear" w:color="FFFFFF" w:fill="FFFFFF"/>
            <w:noWrap/>
            <w:vAlign w:val="bottom"/>
            <w:hideMark/>
          </w:tcPr>
          <w:p w:rsidR="00625719" w:rsidRPr="00203569" w:rsidRDefault="00625719" w:rsidP="00F161D7">
            <w:pPr>
              <w:ind w:firstLineChars="200" w:firstLine="320"/>
              <w:rPr>
                <w:color w:val="333333"/>
                <w:sz w:val="16"/>
                <w:szCs w:val="20"/>
                <w:lang w:val="es-GT" w:eastAsia="es-GT"/>
              </w:rPr>
            </w:pPr>
            <w:r w:rsidRPr="00203569">
              <w:rPr>
                <w:color w:val="333333"/>
                <w:sz w:val="16"/>
                <w:szCs w:val="20"/>
                <w:lang w:val="es-GT" w:eastAsia="es-GT"/>
              </w:rPr>
              <w:t>SERVICIOS DE POLÍTICA EXTERIOR</w:t>
            </w:r>
          </w:p>
        </w:tc>
        <w:tc>
          <w:tcPr>
            <w:tcW w:w="1276"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210.9</w:t>
            </w:r>
          </w:p>
        </w:tc>
        <w:tc>
          <w:tcPr>
            <w:tcW w:w="1275"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228.4</w:t>
            </w:r>
          </w:p>
        </w:tc>
        <w:tc>
          <w:tcPr>
            <w:tcW w:w="993"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-17.5</w:t>
            </w:r>
          </w:p>
        </w:tc>
        <w:tc>
          <w:tcPr>
            <w:tcW w:w="992" w:type="dxa"/>
            <w:tcBorders>
              <w:top w:val="nil"/>
              <w:left w:val="nil"/>
              <w:bottom w:val="nil"/>
              <w:right w:val="single" w:sz="8"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108.3%</w:t>
            </w:r>
          </w:p>
        </w:tc>
      </w:tr>
      <w:tr w:rsidR="00625719" w:rsidRPr="00203569" w:rsidTr="00B45D20">
        <w:trPr>
          <w:trHeight w:val="300"/>
        </w:trPr>
        <w:tc>
          <w:tcPr>
            <w:tcW w:w="4820" w:type="dxa"/>
            <w:tcBorders>
              <w:top w:val="nil"/>
              <w:left w:val="single" w:sz="8" w:space="0" w:color="auto"/>
              <w:bottom w:val="nil"/>
              <w:right w:val="single" w:sz="4" w:space="0" w:color="auto"/>
            </w:tcBorders>
            <w:shd w:val="clear" w:color="FFFFFF" w:fill="FFFFFF"/>
            <w:noWrap/>
            <w:vAlign w:val="bottom"/>
            <w:hideMark/>
          </w:tcPr>
          <w:p w:rsidR="00625719" w:rsidRPr="00203569" w:rsidRDefault="00625719" w:rsidP="00F161D7">
            <w:pPr>
              <w:ind w:firstLineChars="200" w:firstLine="320"/>
              <w:rPr>
                <w:color w:val="333333"/>
                <w:sz w:val="16"/>
                <w:szCs w:val="20"/>
                <w:lang w:val="es-GT" w:eastAsia="es-GT"/>
              </w:rPr>
            </w:pPr>
            <w:r w:rsidRPr="00203569">
              <w:rPr>
                <w:color w:val="333333"/>
                <w:sz w:val="16"/>
                <w:szCs w:val="20"/>
                <w:lang w:val="es-GT" w:eastAsia="es-GT"/>
              </w:rPr>
              <w:t>SERVICIOS CONSULARES Y DE ATENCIÓN AL MIGRANTE</w:t>
            </w:r>
          </w:p>
        </w:tc>
        <w:tc>
          <w:tcPr>
            <w:tcW w:w="1276"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225.9</w:t>
            </w:r>
          </w:p>
        </w:tc>
        <w:tc>
          <w:tcPr>
            <w:tcW w:w="1275"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178.0</w:t>
            </w:r>
          </w:p>
        </w:tc>
        <w:tc>
          <w:tcPr>
            <w:tcW w:w="993"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47.9</w:t>
            </w:r>
          </w:p>
        </w:tc>
        <w:tc>
          <w:tcPr>
            <w:tcW w:w="992" w:type="dxa"/>
            <w:tcBorders>
              <w:top w:val="nil"/>
              <w:left w:val="nil"/>
              <w:bottom w:val="nil"/>
              <w:right w:val="single" w:sz="8"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78.8%</w:t>
            </w:r>
          </w:p>
        </w:tc>
      </w:tr>
      <w:tr w:rsidR="00625719" w:rsidRPr="00203569" w:rsidTr="00B45D20">
        <w:trPr>
          <w:trHeight w:val="300"/>
        </w:trPr>
        <w:tc>
          <w:tcPr>
            <w:tcW w:w="4820" w:type="dxa"/>
            <w:tcBorders>
              <w:top w:val="nil"/>
              <w:left w:val="single" w:sz="8" w:space="0" w:color="auto"/>
              <w:bottom w:val="nil"/>
              <w:right w:val="single" w:sz="4" w:space="0" w:color="auto"/>
            </w:tcBorders>
            <w:shd w:val="clear" w:color="FFFFFF" w:fill="FFFFFF"/>
            <w:noWrap/>
            <w:vAlign w:val="bottom"/>
            <w:hideMark/>
          </w:tcPr>
          <w:p w:rsidR="00625719" w:rsidRPr="00203569" w:rsidRDefault="00625719" w:rsidP="00F161D7">
            <w:pPr>
              <w:ind w:firstLineChars="200" w:firstLine="320"/>
              <w:rPr>
                <w:color w:val="333333"/>
                <w:sz w:val="16"/>
                <w:szCs w:val="20"/>
                <w:lang w:val="es-GT" w:eastAsia="es-GT"/>
              </w:rPr>
            </w:pPr>
            <w:r w:rsidRPr="00203569">
              <w:rPr>
                <w:color w:val="333333"/>
                <w:sz w:val="16"/>
                <w:szCs w:val="20"/>
                <w:lang w:val="es-GT" w:eastAsia="es-GT"/>
              </w:rPr>
              <w:t>ACTIVIDADES CENTRALES</w:t>
            </w:r>
          </w:p>
        </w:tc>
        <w:tc>
          <w:tcPr>
            <w:tcW w:w="1276"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70.9</w:t>
            </w:r>
          </w:p>
        </w:tc>
        <w:tc>
          <w:tcPr>
            <w:tcW w:w="1275"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74.7</w:t>
            </w:r>
          </w:p>
        </w:tc>
        <w:tc>
          <w:tcPr>
            <w:tcW w:w="993"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-3.8</w:t>
            </w:r>
          </w:p>
        </w:tc>
        <w:tc>
          <w:tcPr>
            <w:tcW w:w="992" w:type="dxa"/>
            <w:tcBorders>
              <w:top w:val="nil"/>
              <w:left w:val="nil"/>
              <w:bottom w:val="nil"/>
              <w:right w:val="single" w:sz="8"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105.4%</w:t>
            </w:r>
          </w:p>
        </w:tc>
      </w:tr>
      <w:tr w:rsidR="00625719" w:rsidRPr="00203569" w:rsidTr="00B45D20">
        <w:trPr>
          <w:trHeight w:val="300"/>
        </w:trPr>
        <w:tc>
          <w:tcPr>
            <w:tcW w:w="4820" w:type="dxa"/>
            <w:tcBorders>
              <w:top w:val="nil"/>
              <w:left w:val="single" w:sz="8" w:space="0" w:color="auto"/>
              <w:bottom w:val="nil"/>
              <w:right w:val="single" w:sz="4" w:space="0" w:color="auto"/>
            </w:tcBorders>
            <w:shd w:val="clear" w:color="FFFFFF" w:fill="FFFFFF"/>
            <w:noWrap/>
            <w:vAlign w:val="bottom"/>
            <w:hideMark/>
          </w:tcPr>
          <w:p w:rsidR="00625719" w:rsidRPr="00203569" w:rsidRDefault="00625719" w:rsidP="00F161D7">
            <w:pPr>
              <w:ind w:firstLineChars="200" w:firstLine="320"/>
              <w:rPr>
                <w:color w:val="333333"/>
                <w:sz w:val="16"/>
                <w:szCs w:val="20"/>
                <w:lang w:val="es-GT" w:eastAsia="es-GT"/>
              </w:rPr>
            </w:pPr>
            <w:r w:rsidRPr="00203569">
              <w:rPr>
                <w:color w:val="333333"/>
                <w:sz w:val="16"/>
                <w:szCs w:val="20"/>
                <w:lang w:val="es-GT" w:eastAsia="es-GT"/>
              </w:rPr>
              <w:t>PARTIDAS NO ASIGNABLES A PROGRAMAS</w:t>
            </w:r>
          </w:p>
        </w:tc>
        <w:tc>
          <w:tcPr>
            <w:tcW w:w="1276"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49.2</w:t>
            </w:r>
          </w:p>
        </w:tc>
        <w:tc>
          <w:tcPr>
            <w:tcW w:w="1275"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47.5</w:t>
            </w:r>
          </w:p>
        </w:tc>
        <w:tc>
          <w:tcPr>
            <w:tcW w:w="993" w:type="dxa"/>
            <w:tcBorders>
              <w:top w:val="nil"/>
              <w:left w:val="nil"/>
              <w:bottom w:val="nil"/>
              <w:right w:val="single" w:sz="4"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1.7</w:t>
            </w:r>
          </w:p>
        </w:tc>
        <w:tc>
          <w:tcPr>
            <w:tcW w:w="992" w:type="dxa"/>
            <w:tcBorders>
              <w:top w:val="nil"/>
              <w:left w:val="nil"/>
              <w:bottom w:val="nil"/>
              <w:right w:val="single" w:sz="8" w:space="0" w:color="auto"/>
            </w:tcBorders>
            <w:shd w:val="clear" w:color="FFFFFF" w:fill="FFFFFF"/>
            <w:noWrap/>
            <w:vAlign w:val="bottom"/>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96.5%</w:t>
            </w:r>
          </w:p>
        </w:tc>
      </w:tr>
      <w:tr w:rsidR="00625719" w:rsidRPr="00203569" w:rsidTr="00B45D20">
        <w:trPr>
          <w:trHeight w:val="540"/>
        </w:trPr>
        <w:tc>
          <w:tcPr>
            <w:tcW w:w="4820" w:type="dxa"/>
            <w:tcBorders>
              <w:top w:val="nil"/>
              <w:left w:val="single" w:sz="8" w:space="0" w:color="auto"/>
              <w:bottom w:val="single" w:sz="8" w:space="0" w:color="auto"/>
              <w:right w:val="single" w:sz="4" w:space="0" w:color="auto"/>
            </w:tcBorders>
            <w:shd w:val="clear" w:color="FFFFFF" w:fill="FFFFFF"/>
            <w:vAlign w:val="bottom"/>
            <w:hideMark/>
          </w:tcPr>
          <w:p w:rsidR="00625719" w:rsidRPr="00203569" w:rsidRDefault="00625719" w:rsidP="00F161D7">
            <w:pPr>
              <w:ind w:firstLineChars="200" w:firstLine="320"/>
              <w:rPr>
                <w:color w:val="333333"/>
                <w:sz w:val="16"/>
                <w:szCs w:val="20"/>
                <w:lang w:val="es-GT" w:eastAsia="es-GT"/>
              </w:rPr>
            </w:pPr>
            <w:r w:rsidRPr="00203569">
              <w:rPr>
                <w:color w:val="333333"/>
                <w:sz w:val="16"/>
                <w:szCs w:val="20"/>
                <w:lang w:val="es-GT" w:eastAsia="es-GT"/>
              </w:rPr>
              <w:t>CONSERVACIÓN Y DEMARCACIÓN DE LÍMITES INTERNACIONALES DEL TERRITORIO NACIONAL</w:t>
            </w:r>
          </w:p>
        </w:tc>
        <w:tc>
          <w:tcPr>
            <w:tcW w:w="1276"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20.9</w:t>
            </w:r>
          </w:p>
        </w:tc>
        <w:tc>
          <w:tcPr>
            <w:tcW w:w="1275" w:type="dxa"/>
            <w:tcBorders>
              <w:top w:val="nil"/>
              <w:left w:val="nil"/>
              <w:bottom w:val="single" w:sz="8" w:space="0" w:color="auto"/>
              <w:right w:val="single" w:sz="4" w:space="0" w:color="auto"/>
            </w:tcBorders>
            <w:shd w:val="clear" w:color="FFFFFF" w:fill="FFFFFF"/>
            <w:noWrap/>
            <w:vAlign w:val="center"/>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14.6</w:t>
            </w:r>
          </w:p>
        </w:tc>
        <w:tc>
          <w:tcPr>
            <w:tcW w:w="993" w:type="dxa"/>
            <w:tcBorders>
              <w:top w:val="nil"/>
              <w:left w:val="nil"/>
              <w:bottom w:val="single" w:sz="8" w:space="0" w:color="auto"/>
              <w:right w:val="single" w:sz="4" w:space="0" w:color="auto"/>
            </w:tcBorders>
            <w:shd w:val="clear" w:color="FFFFFF" w:fill="FFFFFF"/>
            <w:noWrap/>
            <w:vAlign w:val="center"/>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6.3</w:t>
            </w:r>
          </w:p>
        </w:tc>
        <w:tc>
          <w:tcPr>
            <w:tcW w:w="992" w:type="dxa"/>
            <w:tcBorders>
              <w:top w:val="nil"/>
              <w:left w:val="nil"/>
              <w:bottom w:val="single" w:sz="8" w:space="0" w:color="auto"/>
              <w:right w:val="single" w:sz="8" w:space="0" w:color="auto"/>
            </w:tcBorders>
            <w:shd w:val="clear" w:color="FFFFFF" w:fill="FFFFFF"/>
            <w:noWrap/>
            <w:vAlign w:val="center"/>
            <w:hideMark/>
          </w:tcPr>
          <w:p w:rsidR="00625719" w:rsidRPr="00203569" w:rsidRDefault="00625719" w:rsidP="00F161D7">
            <w:pPr>
              <w:jc w:val="right"/>
              <w:rPr>
                <w:color w:val="333333"/>
                <w:sz w:val="16"/>
                <w:szCs w:val="20"/>
                <w:lang w:val="es-GT" w:eastAsia="es-GT"/>
              </w:rPr>
            </w:pPr>
            <w:r w:rsidRPr="00203569">
              <w:rPr>
                <w:color w:val="333333"/>
                <w:sz w:val="16"/>
                <w:szCs w:val="20"/>
                <w:lang w:val="es-GT" w:eastAsia="es-GT"/>
              </w:rPr>
              <w:t>69.9%</w:t>
            </w:r>
          </w:p>
        </w:tc>
      </w:tr>
    </w:tbl>
    <w:p w:rsidR="00625719" w:rsidRPr="004E678D" w:rsidRDefault="00625719" w:rsidP="00625719">
      <w:pPr>
        <w:jc w:val="both"/>
        <w:rPr>
          <w:sz w:val="18"/>
        </w:rPr>
      </w:pPr>
      <w:r>
        <w:rPr>
          <w:sz w:val="18"/>
        </w:rPr>
        <w:fldChar w:fldCharType="end"/>
      </w:r>
      <w:r w:rsidRPr="004E678D">
        <w:rPr>
          <w:sz w:val="18"/>
        </w:rPr>
        <w:t>Fuente: Ministerio de Finanzas Públicas</w:t>
      </w:r>
      <w:r>
        <w:rPr>
          <w:sz w:val="18"/>
        </w:rPr>
        <w:t>.</w:t>
      </w:r>
    </w:p>
    <w:p w:rsidR="00625719" w:rsidRPr="00D108FD" w:rsidRDefault="00625719" w:rsidP="00625719">
      <w:pPr>
        <w:jc w:val="both"/>
      </w:pPr>
    </w:p>
    <w:p w:rsidR="00625719" w:rsidRDefault="00625719" w:rsidP="00625719">
      <w:pPr>
        <w:jc w:val="both"/>
        <w:rPr>
          <w:b/>
        </w:rPr>
      </w:pPr>
      <w:r>
        <w:rPr>
          <w:b/>
        </w:rPr>
        <w:t>Ministerio de Gobernación:</w:t>
      </w:r>
    </w:p>
    <w:p w:rsidR="00625719" w:rsidRPr="0037001A" w:rsidRDefault="00625719" w:rsidP="00625719">
      <w:pPr>
        <w:jc w:val="both"/>
        <w:rPr>
          <w:b/>
        </w:rPr>
      </w:pPr>
    </w:p>
    <w:p w:rsidR="00625719" w:rsidRDefault="00625719" w:rsidP="00625719">
      <w:pPr>
        <w:jc w:val="both"/>
      </w:pPr>
      <w:r w:rsidRPr="00D108FD">
        <w:t>El Min</w:t>
      </w:r>
      <w:r>
        <w:t>isterio de Gobernación</w:t>
      </w:r>
      <w:r w:rsidRPr="00D108FD">
        <w:t xml:space="preserve"> tuvo un presupuesto </w:t>
      </w:r>
      <w:r>
        <w:t>aprobado</w:t>
      </w:r>
      <w:r w:rsidRPr="00D108FD">
        <w:t xml:space="preserve"> de </w:t>
      </w:r>
      <w:r>
        <w:t>Q</w:t>
      </w:r>
      <w:r w:rsidR="00CA70BF">
        <w:t>.</w:t>
      </w:r>
      <w:r w:rsidRPr="00D108FD">
        <w:t>5,</w:t>
      </w:r>
      <w:r>
        <w:t>344.8</w:t>
      </w:r>
      <w:r w:rsidRPr="00D108FD">
        <w:t xml:space="preserve"> millones, con una ejecución de </w:t>
      </w:r>
      <w:r>
        <w:t>Q</w:t>
      </w:r>
      <w:r w:rsidR="00CA70BF">
        <w:t>.</w:t>
      </w:r>
      <w:r w:rsidRPr="00D108FD">
        <w:t>4,</w:t>
      </w:r>
      <w:r>
        <w:t>661.</w:t>
      </w:r>
      <w:r w:rsidRPr="00D108FD">
        <w:t>8 millones equivalente</w:t>
      </w:r>
      <w:r>
        <w:t xml:space="preserve"> </w:t>
      </w:r>
      <w:r w:rsidRPr="00D108FD">
        <w:t xml:space="preserve">al </w:t>
      </w:r>
      <w:r>
        <w:t>87.2</w:t>
      </w:r>
      <w:r w:rsidRPr="00D108FD">
        <w:t>%.</w:t>
      </w:r>
    </w:p>
    <w:p w:rsidR="00625719" w:rsidRPr="00D108FD" w:rsidRDefault="00625719" w:rsidP="00625719">
      <w:pPr>
        <w:jc w:val="both"/>
      </w:pPr>
    </w:p>
    <w:p w:rsidR="00625719" w:rsidRDefault="00625719" w:rsidP="00625719">
      <w:pPr>
        <w:jc w:val="both"/>
      </w:pPr>
      <w:r w:rsidRPr="00D108FD">
        <w:t xml:space="preserve">El principal programa dentro de su ejecución fue “Servicios de Seguridad a las Personas y su Patrimonio” con </w:t>
      </w:r>
      <w:r>
        <w:t xml:space="preserve">un </w:t>
      </w:r>
      <w:r w:rsidRPr="00D108FD">
        <w:t xml:space="preserve">presupuesto </w:t>
      </w:r>
      <w:r>
        <w:t>aprobado</w:t>
      </w:r>
      <w:r w:rsidRPr="00D108FD">
        <w:t xml:space="preserve"> de </w:t>
      </w:r>
      <w:r>
        <w:t>Q</w:t>
      </w:r>
      <w:r w:rsidR="00CA70BF">
        <w:t>.</w:t>
      </w:r>
      <w:r>
        <w:t>4</w:t>
      </w:r>
      <w:r w:rsidRPr="00D108FD">
        <w:t>,</w:t>
      </w:r>
      <w:r>
        <w:t>22</w:t>
      </w:r>
      <w:r w:rsidRPr="00D108FD">
        <w:t>9</w:t>
      </w:r>
      <w:r>
        <w:t>.1</w:t>
      </w:r>
      <w:r w:rsidRPr="00D108FD">
        <w:t xml:space="preserve"> millones y una ejecución de </w:t>
      </w:r>
      <w:r>
        <w:t>Q</w:t>
      </w:r>
      <w:r w:rsidR="00CA70BF">
        <w:t>.</w:t>
      </w:r>
      <w:r w:rsidRPr="00D108FD">
        <w:t>3,</w:t>
      </w:r>
      <w:r>
        <w:t>75</w:t>
      </w:r>
      <w:r w:rsidRPr="00D108FD">
        <w:t>8</w:t>
      </w:r>
      <w:r>
        <w:t>.</w:t>
      </w:r>
      <w:r w:rsidRPr="00D108FD">
        <w:t xml:space="preserve">6 equivalentes a </w:t>
      </w:r>
      <w:r>
        <w:t>88.</w:t>
      </w:r>
      <w:r w:rsidRPr="00D108FD">
        <w:t xml:space="preserve">9% respecto </w:t>
      </w:r>
      <w:r w:rsidR="00CA70BF">
        <w:t>del</w:t>
      </w:r>
      <w:r w:rsidRPr="00D108FD">
        <w:t xml:space="preserve"> presupuesto </w:t>
      </w:r>
      <w:r>
        <w:t>aprobado</w:t>
      </w:r>
      <w:r w:rsidRPr="00D108FD">
        <w:t>.</w:t>
      </w:r>
    </w:p>
    <w:p w:rsidR="00625719" w:rsidRPr="00D108FD" w:rsidRDefault="00625719" w:rsidP="00625719">
      <w:pPr>
        <w:jc w:val="both"/>
      </w:pPr>
    </w:p>
    <w:p w:rsidR="00625719" w:rsidRDefault="00625719" w:rsidP="00625719">
      <w:pPr>
        <w:jc w:val="both"/>
      </w:pPr>
      <w:r w:rsidRPr="00D108FD">
        <w:t xml:space="preserve">Seguidamente en importancia se ubica el programa “Servicios de Custodia y Rehabilitación de Privados de Libertad”, </w:t>
      </w:r>
      <w:r>
        <w:t>con un presupuesto de</w:t>
      </w:r>
      <w:r w:rsidRPr="00D108FD">
        <w:t xml:space="preserve"> </w:t>
      </w:r>
      <w:r>
        <w:t>Q</w:t>
      </w:r>
      <w:r w:rsidR="00CA70BF">
        <w:t>.</w:t>
      </w:r>
      <w:r w:rsidRPr="00D108FD">
        <w:t>5</w:t>
      </w:r>
      <w:r>
        <w:t>29</w:t>
      </w:r>
      <w:r w:rsidRPr="00D108FD">
        <w:t xml:space="preserve">.6 millones y </w:t>
      </w:r>
      <w:r>
        <w:t>una</w:t>
      </w:r>
      <w:r w:rsidRPr="00D108FD">
        <w:t xml:space="preserve"> ejecución de </w:t>
      </w:r>
      <w:r>
        <w:t>Q</w:t>
      </w:r>
      <w:r w:rsidR="00CA70BF">
        <w:t>.</w:t>
      </w:r>
      <w:r>
        <w:t>474.1</w:t>
      </w:r>
      <w:r w:rsidRPr="00D108FD">
        <w:t xml:space="preserve"> millones equivalente al </w:t>
      </w:r>
      <w:r>
        <w:t>8</w:t>
      </w:r>
      <w:r w:rsidRPr="00D108FD">
        <w:t>9</w:t>
      </w:r>
      <w:r>
        <w:t>.</w:t>
      </w:r>
      <w:r w:rsidRPr="00D108FD">
        <w:t>5%</w:t>
      </w:r>
      <w:r>
        <w:t xml:space="preserve">. </w:t>
      </w:r>
      <w:r w:rsidRPr="00D108FD">
        <w:t xml:space="preserve">El siguiente programa es “Servicios Migratorios y de Extranjería” con </w:t>
      </w:r>
      <w:r>
        <w:t>Q</w:t>
      </w:r>
      <w:r w:rsidR="00CA70BF">
        <w:t>.</w:t>
      </w:r>
      <w:r>
        <w:t>205</w:t>
      </w:r>
      <w:r w:rsidRPr="00D108FD">
        <w:t xml:space="preserve">.0 millones, y una ejecución presupuestaria de </w:t>
      </w:r>
      <w:r>
        <w:t>Q</w:t>
      </w:r>
      <w:r w:rsidR="00CA70BF">
        <w:t>.</w:t>
      </w:r>
      <w:r w:rsidRPr="00D108FD">
        <w:t>1</w:t>
      </w:r>
      <w:r>
        <w:t>04.5</w:t>
      </w:r>
      <w:r w:rsidRPr="00D108FD">
        <w:t xml:space="preserve"> millones equivalentes al </w:t>
      </w:r>
      <w:r>
        <w:t>51.0</w:t>
      </w:r>
      <w:r w:rsidRPr="00D108FD">
        <w:t>%</w:t>
      </w:r>
      <w:r>
        <w:t>.</w:t>
      </w:r>
    </w:p>
    <w:p w:rsidR="00625719" w:rsidRPr="00D108FD" w:rsidRDefault="00625719" w:rsidP="00625719">
      <w:pPr>
        <w:jc w:val="both"/>
      </w:pPr>
    </w:p>
    <w:p w:rsidR="00625719" w:rsidRDefault="00625719" w:rsidP="00625719">
      <w:pPr>
        <w:jc w:val="both"/>
      </w:pPr>
      <w:r w:rsidRPr="00D108FD">
        <w:t xml:space="preserve">Las “Actividades Centrales” tuvieron un presupuesto de </w:t>
      </w:r>
      <w:r>
        <w:t>Q</w:t>
      </w:r>
      <w:r w:rsidR="00CA70BF">
        <w:t>.</w:t>
      </w:r>
      <w:r w:rsidRPr="00D108FD">
        <w:t>1</w:t>
      </w:r>
      <w:r>
        <w:t>25.7</w:t>
      </w:r>
      <w:r w:rsidRPr="00D108FD">
        <w:t xml:space="preserve"> millones, la ejecución presupuestaria se ubicó en </w:t>
      </w:r>
      <w:r>
        <w:t>Q</w:t>
      </w:r>
      <w:r w:rsidR="00CA70BF">
        <w:t>.</w:t>
      </w:r>
      <w:r>
        <w:t>97.7</w:t>
      </w:r>
      <w:r w:rsidRPr="00D108FD">
        <w:t xml:space="preserve"> millones equivalentes al </w:t>
      </w:r>
      <w:r>
        <w:t>77.7</w:t>
      </w:r>
      <w:r w:rsidRPr="00D108FD">
        <w:t>%</w:t>
      </w:r>
      <w:r>
        <w:t>.</w:t>
      </w:r>
    </w:p>
    <w:p w:rsidR="00625719" w:rsidRPr="00D108FD" w:rsidRDefault="00625719" w:rsidP="00625719">
      <w:pPr>
        <w:jc w:val="both"/>
      </w:pPr>
    </w:p>
    <w:p w:rsidR="00625719" w:rsidRDefault="00625719" w:rsidP="00625719">
      <w:pPr>
        <w:jc w:val="both"/>
      </w:pPr>
      <w:r w:rsidRPr="00D108FD">
        <w:t xml:space="preserve">El programa de “Servicios de Inteligencia Civil” tuvo un presupuesto de </w:t>
      </w:r>
      <w:r>
        <w:t>Q</w:t>
      </w:r>
      <w:r w:rsidR="00CA70BF">
        <w:t>.</w:t>
      </w:r>
      <w:r w:rsidRPr="00D108FD">
        <w:t>87.</w:t>
      </w:r>
      <w:r>
        <w:t>1</w:t>
      </w:r>
      <w:r w:rsidRPr="00D108FD">
        <w:t xml:space="preserve"> millones</w:t>
      </w:r>
      <w:r>
        <w:t xml:space="preserve"> </w:t>
      </w:r>
      <w:r w:rsidRPr="00D108FD">
        <w:t xml:space="preserve">y una ejecución de </w:t>
      </w:r>
      <w:r>
        <w:t>Q</w:t>
      </w:r>
      <w:r w:rsidR="00CA70BF">
        <w:t>.</w:t>
      </w:r>
      <w:r w:rsidRPr="00D108FD">
        <w:t>74.</w:t>
      </w:r>
      <w:r>
        <w:t>4</w:t>
      </w:r>
      <w:r w:rsidRPr="00D108FD">
        <w:t xml:space="preserve"> millones equivalentes al 8</w:t>
      </w:r>
      <w:r>
        <w:t>5.5</w:t>
      </w:r>
      <w:r w:rsidRPr="00D108FD">
        <w:t>%</w:t>
      </w:r>
      <w:r>
        <w:t>.</w:t>
      </w:r>
    </w:p>
    <w:p w:rsidR="00625719" w:rsidRPr="00D108FD" w:rsidRDefault="00625719" w:rsidP="00625719">
      <w:pPr>
        <w:jc w:val="both"/>
      </w:pPr>
    </w:p>
    <w:p w:rsidR="00625719" w:rsidRDefault="00625719" w:rsidP="00625719">
      <w:pPr>
        <w:jc w:val="both"/>
      </w:pPr>
      <w:r>
        <w:t>Final</w:t>
      </w:r>
      <w:r w:rsidRPr="00D108FD">
        <w:t xml:space="preserve">mente se ubica el programa “Servicios de Gobierno Departamental y Registro de Personas Jurídicas”, </w:t>
      </w:r>
      <w:r>
        <w:t>con un presupuesto</w:t>
      </w:r>
      <w:r w:rsidRPr="00D108FD">
        <w:t xml:space="preserve"> de </w:t>
      </w:r>
      <w:r>
        <w:t>Q</w:t>
      </w:r>
      <w:r w:rsidR="00CA70BF">
        <w:t>.</w:t>
      </w:r>
      <w:r w:rsidRPr="00D108FD">
        <w:t>8</w:t>
      </w:r>
      <w:r>
        <w:t>2.0</w:t>
      </w:r>
      <w:r w:rsidRPr="00D108FD">
        <w:t xml:space="preserve"> millones, </w:t>
      </w:r>
      <w:r>
        <w:t>una</w:t>
      </w:r>
      <w:r w:rsidRPr="00D108FD">
        <w:t xml:space="preserve"> ejecución presupuestaria de </w:t>
      </w:r>
      <w:r>
        <w:t>Q</w:t>
      </w:r>
      <w:r w:rsidR="00CA70BF">
        <w:t>.</w:t>
      </w:r>
      <w:r>
        <w:t>61.1</w:t>
      </w:r>
      <w:r w:rsidRPr="00D108FD">
        <w:t xml:space="preserve"> millones equivalente al </w:t>
      </w:r>
      <w:r>
        <w:t>74.6</w:t>
      </w:r>
      <w:r w:rsidRPr="00D108FD">
        <w:t>%.</w:t>
      </w:r>
    </w:p>
    <w:p w:rsidR="00625719" w:rsidRPr="00D108FD" w:rsidRDefault="00625719" w:rsidP="00625719">
      <w:pPr>
        <w:jc w:val="both"/>
      </w:pPr>
    </w:p>
    <w:p w:rsidR="00625719" w:rsidRDefault="00625719" w:rsidP="00625719">
      <w:pPr>
        <w:jc w:val="both"/>
      </w:pPr>
      <w:r w:rsidRPr="00D108FD">
        <w:t xml:space="preserve">Los </w:t>
      </w:r>
      <w:r>
        <w:t>4</w:t>
      </w:r>
      <w:r w:rsidRPr="00D108FD">
        <w:t xml:space="preserve"> programas restantes se ubicaron con una ejecución presupuestaria por debajo de los </w:t>
      </w:r>
      <w:r>
        <w:t>Q</w:t>
      </w:r>
      <w:r w:rsidR="00CA70BF">
        <w:t>.</w:t>
      </w:r>
      <w:r w:rsidRPr="00D108FD">
        <w:t>5</w:t>
      </w:r>
      <w:r>
        <w:t>8.2 millones ejecutados por el programa “Servicios de Divulgación Oficial”,</w:t>
      </w:r>
      <w:r w:rsidRPr="00D108FD">
        <w:t xml:space="preserve"> c</w:t>
      </w:r>
      <w:r>
        <w:t>o</w:t>
      </w:r>
      <w:r w:rsidRPr="00D108FD">
        <w:t>mo se observa en el cuadro que se presenta a continuación.</w:t>
      </w:r>
    </w:p>
    <w:p w:rsidR="00625719" w:rsidRPr="00D108FD" w:rsidRDefault="00625719" w:rsidP="00625719">
      <w:pPr>
        <w:jc w:val="both"/>
      </w:pP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Programa!F23C2:F34C6" \a \f 4 \h  \* MERGEFORMAT </w:instrText>
      </w:r>
      <w:r>
        <w:rPr>
          <w:noProof/>
          <w:lang w:val="es-GT" w:eastAsia="es-GT"/>
        </w:rPr>
        <w:fldChar w:fldCharType="separate"/>
      </w:r>
    </w:p>
    <w:p w:rsidR="00625719" w:rsidRDefault="00625719" w:rsidP="00625719">
      <w:pPr>
        <w:jc w:val="both"/>
        <w:rPr>
          <w:rFonts w:ascii="Calibri" w:eastAsia="Calibri" w:hAnsi="Calibri"/>
          <w:sz w:val="20"/>
          <w:szCs w:val="20"/>
          <w:lang w:val="es-GT" w:eastAsia="es-GT"/>
        </w:rPr>
      </w:pPr>
      <w:r>
        <w:rPr>
          <w:noProof/>
          <w:lang w:val="es-GT" w:eastAsia="es-GT"/>
        </w:rPr>
        <w:lastRenderedPageBreak/>
        <w:fldChar w:fldCharType="end"/>
      </w: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Programa!F23C2:F34C6" \a \f 4 \h  \* MERGEFORMAT </w:instrText>
      </w:r>
      <w:r>
        <w:rPr>
          <w:noProof/>
          <w:lang w:val="es-GT" w:eastAsia="es-GT"/>
        </w:rPr>
        <w:fldChar w:fldCharType="separate"/>
      </w:r>
    </w:p>
    <w:p w:rsidR="00625719" w:rsidRDefault="00625719" w:rsidP="00625719">
      <w:pPr>
        <w:jc w:val="both"/>
        <w:rPr>
          <w:rFonts w:ascii="Calibri" w:eastAsia="Calibri" w:hAnsi="Calibri"/>
          <w:sz w:val="20"/>
          <w:szCs w:val="20"/>
          <w:lang w:val="es-GT" w:eastAsia="es-GT"/>
        </w:rPr>
      </w:pPr>
      <w:r>
        <w:rPr>
          <w:noProof/>
          <w:lang w:val="es-GT" w:eastAsia="es-GT"/>
        </w:rPr>
        <w:fldChar w:fldCharType="end"/>
      </w: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Programa!F23C2:F34C6" \a \f 4 \h  \* MERGEFORMAT </w:instrText>
      </w:r>
      <w:r>
        <w:rPr>
          <w:noProof/>
          <w:lang w:val="es-GT" w:eastAsia="es-GT"/>
        </w:rPr>
        <w:fldChar w:fldCharType="separate"/>
      </w:r>
    </w:p>
    <w:tbl>
      <w:tblPr>
        <w:tblW w:w="9356" w:type="dxa"/>
        <w:tblInd w:w="70" w:type="dxa"/>
        <w:tblCellMar>
          <w:left w:w="70" w:type="dxa"/>
          <w:right w:w="70" w:type="dxa"/>
        </w:tblCellMar>
        <w:tblLook w:val="04A0" w:firstRow="1" w:lastRow="0" w:firstColumn="1" w:lastColumn="0" w:noHBand="0" w:noVBand="1"/>
      </w:tblPr>
      <w:tblGrid>
        <w:gridCol w:w="5031"/>
        <w:gridCol w:w="1348"/>
        <w:gridCol w:w="1134"/>
        <w:gridCol w:w="1134"/>
        <w:gridCol w:w="709"/>
      </w:tblGrid>
      <w:tr w:rsidR="00625719" w:rsidRPr="007E392F" w:rsidTr="00B45D20">
        <w:trPr>
          <w:trHeight w:val="304"/>
        </w:trPr>
        <w:tc>
          <w:tcPr>
            <w:tcW w:w="5031"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7E392F" w:rsidRDefault="00625719" w:rsidP="00F161D7">
            <w:pPr>
              <w:jc w:val="center"/>
              <w:rPr>
                <w:b/>
                <w:bCs/>
                <w:color w:val="000000"/>
                <w:sz w:val="12"/>
                <w:szCs w:val="20"/>
                <w:lang w:val="es-GT" w:eastAsia="es-GT"/>
              </w:rPr>
            </w:pPr>
            <w:r w:rsidRPr="007E392F">
              <w:rPr>
                <w:b/>
                <w:bCs/>
                <w:color w:val="000000"/>
                <w:sz w:val="12"/>
                <w:szCs w:val="20"/>
                <w:lang w:val="es-GT" w:eastAsia="es-GT"/>
              </w:rPr>
              <w:t>DESCRIPCION</w:t>
            </w:r>
          </w:p>
        </w:tc>
        <w:tc>
          <w:tcPr>
            <w:tcW w:w="1348" w:type="dxa"/>
            <w:tcBorders>
              <w:top w:val="single" w:sz="8" w:space="0" w:color="auto"/>
              <w:left w:val="nil"/>
              <w:bottom w:val="single" w:sz="4" w:space="0" w:color="auto"/>
              <w:right w:val="single" w:sz="4" w:space="0" w:color="auto"/>
            </w:tcBorders>
            <w:shd w:val="clear" w:color="000000" w:fill="8DB4E2"/>
            <w:noWrap/>
            <w:hideMark/>
          </w:tcPr>
          <w:p w:rsidR="00625719" w:rsidRPr="007E392F" w:rsidRDefault="00625719" w:rsidP="00F161D7">
            <w:pPr>
              <w:jc w:val="center"/>
              <w:rPr>
                <w:b/>
                <w:bCs/>
                <w:color w:val="000000"/>
                <w:sz w:val="12"/>
                <w:szCs w:val="20"/>
                <w:lang w:val="es-GT" w:eastAsia="es-GT"/>
              </w:rPr>
            </w:pPr>
            <w:r w:rsidRPr="007E392F">
              <w:rPr>
                <w:b/>
                <w:bCs/>
                <w:color w:val="000000"/>
                <w:sz w:val="12"/>
                <w:szCs w:val="20"/>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7E392F" w:rsidRDefault="00625719" w:rsidP="00F161D7">
            <w:pPr>
              <w:jc w:val="center"/>
              <w:rPr>
                <w:b/>
                <w:bCs/>
                <w:color w:val="000000"/>
                <w:sz w:val="12"/>
                <w:szCs w:val="20"/>
                <w:lang w:val="es-GT" w:eastAsia="es-GT"/>
              </w:rPr>
            </w:pPr>
            <w:r w:rsidRPr="007E392F">
              <w:rPr>
                <w:b/>
                <w:bCs/>
                <w:color w:val="000000"/>
                <w:sz w:val="12"/>
                <w:szCs w:val="20"/>
                <w:lang w:val="es-GT" w:eastAsia="es-GT"/>
              </w:rPr>
              <w:t>EJECUCIÓN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7E392F" w:rsidRDefault="00625719" w:rsidP="00F161D7">
            <w:pPr>
              <w:jc w:val="center"/>
              <w:rPr>
                <w:b/>
                <w:bCs/>
                <w:color w:val="000000"/>
                <w:sz w:val="12"/>
                <w:szCs w:val="20"/>
                <w:lang w:val="es-GT" w:eastAsia="es-GT"/>
              </w:rPr>
            </w:pPr>
            <w:r w:rsidRPr="007E392F">
              <w:rPr>
                <w:b/>
                <w:bCs/>
                <w:color w:val="000000"/>
                <w:sz w:val="12"/>
                <w:szCs w:val="20"/>
                <w:lang w:val="es-GT" w:eastAsia="es-GT"/>
              </w:rPr>
              <w:t>Diferencias</w:t>
            </w:r>
          </w:p>
        </w:tc>
        <w:tc>
          <w:tcPr>
            <w:tcW w:w="709" w:type="dxa"/>
            <w:tcBorders>
              <w:top w:val="single" w:sz="8" w:space="0" w:color="auto"/>
              <w:left w:val="nil"/>
              <w:bottom w:val="single" w:sz="4" w:space="0" w:color="auto"/>
              <w:right w:val="single" w:sz="8" w:space="0" w:color="auto"/>
            </w:tcBorders>
            <w:shd w:val="clear" w:color="000000" w:fill="8DB4E2"/>
            <w:noWrap/>
            <w:hideMark/>
          </w:tcPr>
          <w:p w:rsidR="00625719" w:rsidRPr="007E392F" w:rsidRDefault="00625719" w:rsidP="00F161D7">
            <w:pPr>
              <w:jc w:val="center"/>
              <w:rPr>
                <w:b/>
                <w:bCs/>
                <w:color w:val="000000"/>
                <w:sz w:val="12"/>
                <w:szCs w:val="20"/>
                <w:lang w:val="es-GT" w:eastAsia="es-GT"/>
              </w:rPr>
            </w:pPr>
            <w:r w:rsidRPr="007E392F">
              <w:rPr>
                <w:b/>
                <w:bCs/>
                <w:color w:val="000000"/>
                <w:sz w:val="12"/>
                <w:szCs w:val="20"/>
                <w:lang w:val="es-GT" w:eastAsia="es-GT"/>
              </w:rPr>
              <w:t>% Ejec</w:t>
            </w:r>
          </w:p>
        </w:tc>
      </w:tr>
      <w:tr w:rsidR="00625719" w:rsidRPr="007E392F" w:rsidTr="00B45D20">
        <w:trPr>
          <w:trHeight w:val="304"/>
        </w:trPr>
        <w:tc>
          <w:tcPr>
            <w:tcW w:w="5031" w:type="dxa"/>
            <w:tcBorders>
              <w:top w:val="nil"/>
              <w:left w:val="single" w:sz="8" w:space="0" w:color="auto"/>
              <w:bottom w:val="nil"/>
              <w:right w:val="single" w:sz="4" w:space="0" w:color="auto"/>
            </w:tcBorders>
            <w:shd w:val="clear" w:color="FFFFFF" w:fill="FFFFFF"/>
            <w:noWrap/>
            <w:vAlign w:val="bottom"/>
            <w:hideMark/>
          </w:tcPr>
          <w:p w:rsidR="00625719" w:rsidRPr="007E392F" w:rsidRDefault="00625719" w:rsidP="00F161D7">
            <w:pPr>
              <w:rPr>
                <w:b/>
                <w:bCs/>
                <w:color w:val="333333"/>
                <w:sz w:val="12"/>
                <w:szCs w:val="20"/>
                <w:lang w:val="es-GT" w:eastAsia="es-GT"/>
              </w:rPr>
            </w:pPr>
            <w:r w:rsidRPr="007E392F">
              <w:rPr>
                <w:b/>
                <w:bCs/>
                <w:color w:val="333333"/>
                <w:sz w:val="12"/>
                <w:szCs w:val="20"/>
                <w:lang w:val="es-GT" w:eastAsia="es-GT"/>
              </w:rPr>
              <w:t>MINISTERIO DE GOBERNACIÓN</w:t>
            </w:r>
          </w:p>
        </w:tc>
        <w:tc>
          <w:tcPr>
            <w:tcW w:w="1348"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b/>
                <w:bCs/>
                <w:color w:val="333333"/>
                <w:sz w:val="12"/>
                <w:szCs w:val="20"/>
                <w:lang w:val="es-GT" w:eastAsia="es-GT"/>
              </w:rPr>
            </w:pPr>
            <w:r w:rsidRPr="007E392F">
              <w:rPr>
                <w:b/>
                <w:bCs/>
                <w:color w:val="333333"/>
                <w:sz w:val="12"/>
                <w:szCs w:val="20"/>
                <w:lang w:val="es-GT" w:eastAsia="es-GT"/>
              </w:rPr>
              <w:t>5,344.8</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b/>
                <w:bCs/>
                <w:color w:val="333333"/>
                <w:sz w:val="12"/>
                <w:szCs w:val="20"/>
                <w:lang w:val="es-GT" w:eastAsia="es-GT"/>
              </w:rPr>
            </w:pPr>
            <w:r w:rsidRPr="007E392F">
              <w:rPr>
                <w:b/>
                <w:bCs/>
                <w:color w:val="333333"/>
                <w:sz w:val="12"/>
                <w:szCs w:val="20"/>
                <w:lang w:val="es-GT" w:eastAsia="es-GT"/>
              </w:rPr>
              <w:t>4,661.8</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b/>
                <w:bCs/>
                <w:color w:val="333333"/>
                <w:sz w:val="12"/>
                <w:szCs w:val="20"/>
                <w:lang w:val="es-GT" w:eastAsia="es-GT"/>
              </w:rPr>
            </w:pPr>
            <w:r w:rsidRPr="007E392F">
              <w:rPr>
                <w:b/>
                <w:bCs/>
                <w:color w:val="333333"/>
                <w:sz w:val="12"/>
                <w:szCs w:val="20"/>
                <w:lang w:val="es-GT" w:eastAsia="es-GT"/>
              </w:rPr>
              <w:t>683.0</w:t>
            </w:r>
          </w:p>
        </w:tc>
        <w:tc>
          <w:tcPr>
            <w:tcW w:w="709" w:type="dxa"/>
            <w:tcBorders>
              <w:top w:val="nil"/>
              <w:left w:val="nil"/>
              <w:bottom w:val="nil"/>
              <w:right w:val="single" w:sz="8" w:space="0" w:color="auto"/>
            </w:tcBorders>
            <w:shd w:val="clear" w:color="FFFFFF" w:fill="FFFFFF"/>
            <w:noWrap/>
            <w:vAlign w:val="center"/>
            <w:hideMark/>
          </w:tcPr>
          <w:p w:rsidR="00625719" w:rsidRPr="007E392F" w:rsidRDefault="00625719" w:rsidP="00F161D7">
            <w:pPr>
              <w:jc w:val="right"/>
              <w:rPr>
                <w:b/>
                <w:bCs/>
                <w:color w:val="333333"/>
                <w:sz w:val="12"/>
                <w:szCs w:val="20"/>
                <w:lang w:val="es-GT" w:eastAsia="es-GT"/>
              </w:rPr>
            </w:pPr>
            <w:r w:rsidRPr="007E392F">
              <w:rPr>
                <w:b/>
                <w:bCs/>
                <w:color w:val="333333"/>
                <w:sz w:val="12"/>
                <w:szCs w:val="20"/>
                <w:lang w:val="es-GT" w:eastAsia="es-GT"/>
              </w:rPr>
              <w:t>87.2%</w:t>
            </w:r>
          </w:p>
        </w:tc>
      </w:tr>
      <w:tr w:rsidR="00625719" w:rsidRPr="007E392F" w:rsidTr="00B45D20">
        <w:trPr>
          <w:trHeight w:val="304"/>
        </w:trPr>
        <w:tc>
          <w:tcPr>
            <w:tcW w:w="5031" w:type="dxa"/>
            <w:tcBorders>
              <w:top w:val="nil"/>
              <w:left w:val="single" w:sz="8" w:space="0" w:color="auto"/>
              <w:bottom w:val="nil"/>
              <w:right w:val="single" w:sz="4" w:space="0" w:color="auto"/>
            </w:tcBorders>
            <w:shd w:val="clear" w:color="FFFFFF" w:fill="FFFFFF"/>
            <w:noWrap/>
            <w:vAlign w:val="bottom"/>
            <w:hideMark/>
          </w:tcPr>
          <w:p w:rsidR="00625719" w:rsidRPr="007E392F" w:rsidRDefault="00625719" w:rsidP="00F161D7">
            <w:pPr>
              <w:ind w:firstLineChars="200" w:firstLine="240"/>
              <w:rPr>
                <w:color w:val="333333"/>
                <w:sz w:val="12"/>
                <w:szCs w:val="20"/>
                <w:lang w:val="es-GT" w:eastAsia="es-GT"/>
              </w:rPr>
            </w:pPr>
            <w:r w:rsidRPr="007E392F">
              <w:rPr>
                <w:color w:val="333333"/>
                <w:sz w:val="12"/>
                <w:szCs w:val="20"/>
                <w:lang w:val="es-GT" w:eastAsia="es-GT"/>
              </w:rPr>
              <w:t>SERVICIOS DE SEGURIDAD A LAS PERSONAS Y SU PATRIMONIO</w:t>
            </w:r>
          </w:p>
        </w:tc>
        <w:tc>
          <w:tcPr>
            <w:tcW w:w="1348"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4,229.1</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3,758.6</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470.4</w:t>
            </w:r>
          </w:p>
        </w:tc>
        <w:tc>
          <w:tcPr>
            <w:tcW w:w="709" w:type="dxa"/>
            <w:tcBorders>
              <w:top w:val="nil"/>
              <w:left w:val="nil"/>
              <w:bottom w:val="nil"/>
              <w:right w:val="single" w:sz="8"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88.9%</w:t>
            </w:r>
          </w:p>
        </w:tc>
      </w:tr>
      <w:tr w:rsidR="00625719" w:rsidRPr="007E392F" w:rsidTr="00B45D20">
        <w:trPr>
          <w:trHeight w:val="304"/>
        </w:trPr>
        <w:tc>
          <w:tcPr>
            <w:tcW w:w="5031" w:type="dxa"/>
            <w:tcBorders>
              <w:top w:val="nil"/>
              <w:left w:val="single" w:sz="8" w:space="0" w:color="auto"/>
              <w:bottom w:val="nil"/>
              <w:right w:val="single" w:sz="4" w:space="0" w:color="auto"/>
            </w:tcBorders>
            <w:shd w:val="clear" w:color="FFFFFF" w:fill="FFFFFF"/>
            <w:noWrap/>
            <w:vAlign w:val="bottom"/>
            <w:hideMark/>
          </w:tcPr>
          <w:p w:rsidR="00625719" w:rsidRPr="007E392F" w:rsidRDefault="00625719" w:rsidP="00F161D7">
            <w:pPr>
              <w:ind w:firstLineChars="200" w:firstLine="240"/>
              <w:rPr>
                <w:color w:val="333333"/>
                <w:sz w:val="12"/>
                <w:szCs w:val="20"/>
                <w:lang w:val="es-GT" w:eastAsia="es-GT"/>
              </w:rPr>
            </w:pPr>
            <w:r w:rsidRPr="007E392F">
              <w:rPr>
                <w:color w:val="333333"/>
                <w:sz w:val="12"/>
                <w:szCs w:val="20"/>
                <w:lang w:val="es-GT" w:eastAsia="es-GT"/>
              </w:rPr>
              <w:t>SERVICIOS DE CUSTODIA Y REHABILITACIÓN DE PRIVADOS DE LIBERTAD</w:t>
            </w:r>
          </w:p>
        </w:tc>
        <w:tc>
          <w:tcPr>
            <w:tcW w:w="1348"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529.6</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474.1</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55.4</w:t>
            </w:r>
          </w:p>
        </w:tc>
        <w:tc>
          <w:tcPr>
            <w:tcW w:w="709" w:type="dxa"/>
            <w:tcBorders>
              <w:top w:val="nil"/>
              <w:left w:val="nil"/>
              <w:bottom w:val="nil"/>
              <w:right w:val="single" w:sz="8"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89.5%</w:t>
            </w:r>
          </w:p>
        </w:tc>
      </w:tr>
      <w:tr w:rsidR="00625719" w:rsidRPr="007E392F" w:rsidTr="00B45D20">
        <w:trPr>
          <w:trHeight w:val="304"/>
        </w:trPr>
        <w:tc>
          <w:tcPr>
            <w:tcW w:w="5031" w:type="dxa"/>
            <w:tcBorders>
              <w:top w:val="nil"/>
              <w:left w:val="single" w:sz="8" w:space="0" w:color="auto"/>
              <w:bottom w:val="nil"/>
              <w:right w:val="single" w:sz="4" w:space="0" w:color="auto"/>
            </w:tcBorders>
            <w:shd w:val="clear" w:color="FFFFFF" w:fill="FFFFFF"/>
            <w:noWrap/>
            <w:vAlign w:val="bottom"/>
            <w:hideMark/>
          </w:tcPr>
          <w:p w:rsidR="00625719" w:rsidRPr="007E392F" w:rsidRDefault="00625719" w:rsidP="00F161D7">
            <w:pPr>
              <w:ind w:firstLineChars="200" w:firstLine="240"/>
              <w:rPr>
                <w:color w:val="333333"/>
                <w:sz w:val="12"/>
                <w:szCs w:val="20"/>
                <w:lang w:val="es-GT" w:eastAsia="es-GT"/>
              </w:rPr>
            </w:pPr>
            <w:r w:rsidRPr="007E392F">
              <w:rPr>
                <w:color w:val="333333"/>
                <w:sz w:val="12"/>
                <w:szCs w:val="20"/>
                <w:lang w:val="es-GT" w:eastAsia="es-GT"/>
              </w:rPr>
              <w:t>SERVICIOS MIGRATORIOS Y EXTRANJERÍA</w:t>
            </w:r>
          </w:p>
        </w:tc>
        <w:tc>
          <w:tcPr>
            <w:tcW w:w="1348"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205.0</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104.5</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100.5</w:t>
            </w:r>
          </w:p>
        </w:tc>
        <w:tc>
          <w:tcPr>
            <w:tcW w:w="709" w:type="dxa"/>
            <w:tcBorders>
              <w:top w:val="nil"/>
              <w:left w:val="nil"/>
              <w:bottom w:val="nil"/>
              <w:right w:val="single" w:sz="8"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51.0%</w:t>
            </w:r>
          </w:p>
        </w:tc>
      </w:tr>
      <w:tr w:rsidR="00625719" w:rsidRPr="007E392F" w:rsidTr="00B45D20">
        <w:trPr>
          <w:trHeight w:val="304"/>
        </w:trPr>
        <w:tc>
          <w:tcPr>
            <w:tcW w:w="5031" w:type="dxa"/>
            <w:tcBorders>
              <w:top w:val="nil"/>
              <w:left w:val="single" w:sz="8" w:space="0" w:color="auto"/>
              <w:bottom w:val="nil"/>
              <w:right w:val="single" w:sz="4" w:space="0" w:color="auto"/>
            </w:tcBorders>
            <w:shd w:val="clear" w:color="FFFFFF" w:fill="FFFFFF"/>
            <w:noWrap/>
            <w:vAlign w:val="bottom"/>
            <w:hideMark/>
          </w:tcPr>
          <w:p w:rsidR="00625719" w:rsidRPr="007E392F" w:rsidRDefault="00625719" w:rsidP="00F161D7">
            <w:pPr>
              <w:ind w:firstLineChars="200" w:firstLine="240"/>
              <w:rPr>
                <w:color w:val="333333"/>
                <w:sz w:val="12"/>
                <w:szCs w:val="20"/>
                <w:lang w:val="es-GT" w:eastAsia="es-GT"/>
              </w:rPr>
            </w:pPr>
            <w:r w:rsidRPr="007E392F">
              <w:rPr>
                <w:color w:val="333333"/>
                <w:sz w:val="12"/>
                <w:szCs w:val="20"/>
                <w:lang w:val="es-GT" w:eastAsia="es-GT"/>
              </w:rPr>
              <w:t>ACTIVIDADES CENTRALES</w:t>
            </w:r>
          </w:p>
        </w:tc>
        <w:tc>
          <w:tcPr>
            <w:tcW w:w="1348"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125.7</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97.7</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28.0</w:t>
            </w:r>
          </w:p>
        </w:tc>
        <w:tc>
          <w:tcPr>
            <w:tcW w:w="709" w:type="dxa"/>
            <w:tcBorders>
              <w:top w:val="nil"/>
              <w:left w:val="nil"/>
              <w:bottom w:val="nil"/>
              <w:right w:val="single" w:sz="8"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77.7%</w:t>
            </w:r>
          </w:p>
        </w:tc>
      </w:tr>
      <w:tr w:rsidR="00625719" w:rsidRPr="007E392F" w:rsidTr="00B45D20">
        <w:trPr>
          <w:trHeight w:val="304"/>
        </w:trPr>
        <w:tc>
          <w:tcPr>
            <w:tcW w:w="5031" w:type="dxa"/>
            <w:tcBorders>
              <w:top w:val="nil"/>
              <w:left w:val="single" w:sz="8" w:space="0" w:color="auto"/>
              <w:bottom w:val="nil"/>
              <w:right w:val="single" w:sz="4" w:space="0" w:color="auto"/>
            </w:tcBorders>
            <w:shd w:val="clear" w:color="FFFFFF" w:fill="FFFFFF"/>
            <w:noWrap/>
            <w:vAlign w:val="bottom"/>
            <w:hideMark/>
          </w:tcPr>
          <w:p w:rsidR="00625719" w:rsidRPr="007E392F" w:rsidRDefault="00625719" w:rsidP="00F161D7">
            <w:pPr>
              <w:ind w:firstLineChars="200" w:firstLine="240"/>
              <w:rPr>
                <w:color w:val="333333"/>
                <w:sz w:val="12"/>
                <w:szCs w:val="20"/>
                <w:lang w:val="es-GT" w:eastAsia="es-GT"/>
              </w:rPr>
            </w:pPr>
            <w:r w:rsidRPr="007E392F">
              <w:rPr>
                <w:color w:val="333333"/>
                <w:sz w:val="12"/>
                <w:szCs w:val="20"/>
                <w:lang w:val="es-GT" w:eastAsia="es-GT"/>
              </w:rPr>
              <w:t>SERVICIOS DE INTELIGENCIA CIVIL (ACTIVIDAD COMÚN A LOS PROGRAMAS 11, 12 Y 13)</w:t>
            </w:r>
          </w:p>
        </w:tc>
        <w:tc>
          <w:tcPr>
            <w:tcW w:w="1348"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87.1</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74.4</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12.7</w:t>
            </w:r>
          </w:p>
        </w:tc>
        <w:tc>
          <w:tcPr>
            <w:tcW w:w="709" w:type="dxa"/>
            <w:tcBorders>
              <w:top w:val="nil"/>
              <w:left w:val="nil"/>
              <w:bottom w:val="nil"/>
              <w:right w:val="single" w:sz="8"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85.5%</w:t>
            </w:r>
          </w:p>
        </w:tc>
      </w:tr>
      <w:tr w:rsidR="00625719" w:rsidRPr="007E392F" w:rsidTr="00B45D20">
        <w:trPr>
          <w:trHeight w:val="304"/>
        </w:trPr>
        <w:tc>
          <w:tcPr>
            <w:tcW w:w="5031" w:type="dxa"/>
            <w:tcBorders>
              <w:top w:val="nil"/>
              <w:left w:val="single" w:sz="8" w:space="0" w:color="auto"/>
              <w:bottom w:val="nil"/>
              <w:right w:val="single" w:sz="4" w:space="0" w:color="auto"/>
            </w:tcBorders>
            <w:shd w:val="clear" w:color="FFFFFF" w:fill="FFFFFF"/>
            <w:noWrap/>
            <w:vAlign w:val="bottom"/>
            <w:hideMark/>
          </w:tcPr>
          <w:p w:rsidR="00625719" w:rsidRPr="007E392F" w:rsidRDefault="00625719" w:rsidP="00F161D7">
            <w:pPr>
              <w:ind w:firstLineChars="200" w:firstLine="240"/>
              <w:rPr>
                <w:color w:val="333333"/>
                <w:sz w:val="12"/>
                <w:szCs w:val="20"/>
                <w:lang w:val="es-GT" w:eastAsia="es-GT"/>
              </w:rPr>
            </w:pPr>
            <w:r w:rsidRPr="007E392F">
              <w:rPr>
                <w:color w:val="333333"/>
                <w:sz w:val="12"/>
                <w:szCs w:val="20"/>
                <w:lang w:val="es-GT" w:eastAsia="es-GT"/>
              </w:rPr>
              <w:t>SERVICIOS DE GOBIERNO DEPARTAMENTAL Y REGISTRO DE PERSONAS JURÍDICAS</w:t>
            </w:r>
          </w:p>
        </w:tc>
        <w:tc>
          <w:tcPr>
            <w:tcW w:w="1348"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82.0</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61.1</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20.9</w:t>
            </w:r>
          </w:p>
        </w:tc>
        <w:tc>
          <w:tcPr>
            <w:tcW w:w="709" w:type="dxa"/>
            <w:tcBorders>
              <w:top w:val="nil"/>
              <w:left w:val="nil"/>
              <w:bottom w:val="nil"/>
              <w:right w:val="single" w:sz="8"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74.6%</w:t>
            </w:r>
          </w:p>
        </w:tc>
      </w:tr>
      <w:tr w:rsidR="00625719" w:rsidRPr="007E392F" w:rsidTr="00B45D20">
        <w:trPr>
          <w:trHeight w:val="304"/>
        </w:trPr>
        <w:tc>
          <w:tcPr>
            <w:tcW w:w="5031" w:type="dxa"/>
            <w:tcBorders>
              <w:top w:val="nil"/>
              <w:left w:val="single" w:sz="8" w:space="0" w:color="auto"/>
              <w:bottom w:val="nil"/>
              <w:right w:val="single" w:sz="4" w:space="0" w:color="auto"/>
            </w:tcBorders>
            <w:shd w:val="clear" w:color="FFFFFF" w:fill="FFFFFF"/>
            <w:noWrap/>
            <w:vAlign w:val="bottom"/>
            <w:hideMark/>
          </w:tcPr>
          <w:p w:rsidR="00625719" w:rsidRPr="007E392F" w:rsidRDefault="00625719" w:rsidP="00F161D7">
            <w:pPr>
              <w:ind w:firstLineChars="200" w:firstLine="240"/>
              <w:rPr>
                <w:color w:val="333333"/>
                <w:sz w:val="12"/>
                <w:szCs w:val="20"/>
                <w:lang w:val="es-GT" w:eastAsia="es-GT"/>
              </w:rPr>
            </w:pPr>
            <w:r w:rsidRPr="007E392F">
              <w:rPr>
                <w:color w:val="333333"/>
                <w:sz w:val="12"/>
                <w:szCs w:val="20"/>
                <w:lang w:val="es-GT" w:eastAsia="es-GT"/>
              </w:rPr>
              <w:t>SERVICIOS DE DIVULGACIÓN OFICIAL</w:t>
            </w:r>
          </w:p>
        </w:tc>
        <w:tc>
          <w:tcPr>
            <w:tcW w:w="1348"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69.8</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58.2</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11.7</w:t>
            </w:r>
          </w:p>
        </w:tc>
        <w:tc>
          <w:tcPr>
            <w:tcW w:w="709" w:type="dxa"/>
            <w:tcBorders>
              <w:top w:val="nil"/>
              <w:left w:val="nil"/>
              <w:bottom w:val="nil"/>
              <w:right w:val="single" w:sz="8"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83.3%</w:t>
            </w:r>
          </w:p>
        </w:tc>
      </w:tr>
      <w:tr w:rsidR="00625719" w:rsidRPr="007E392F" w:rsidTr="00B45D20">
        <w:trPr>
          <w:trHeight w:val="304"/>
        </w:trPr>
        <w:tc>
          <w:tcPr>
            <w:tcW w:w="5031" w:type="dxa"/>
            <w:tcBorders>
              <w:top w:val="nil"/>
              <w:left w:val="single" w:sz="8" w:space="0" w:color="auto"/>
              <w:bottom w:val="nil"/>
              <w:right w:val="single" w:sz="4" w:space="0" w:color="auto"/>
            </w:tcBorders>
            <w:shd w:val="clear" w:color="FFFFFF" w:fill="FFFFFF"/>
            <w:noWrap/>
            <w:vAlign w:val="bottom"/>
            <w:hideMark/>
          </w:tcPr>
          <w:p w:rsidR="00625719" w:rsidRPr="007E392F" w:rsidRDefault="00625719" w:rsidP="00F161D7">
            <w:pPr>
              <w:ind w:firstLineChars="200" w:firstLine="240"/>
              <w:rPr>
                <w:color w:val="333333"/>
                <w:sz w:val="12"/>
                <w:szCs w:val="20"/>
                <w:lang w:val="es-GT" w:eastAsia="es-GT"/>
              </w:rPr>
            </w:pPr>
            <w:r w:rsidRPr="007E392F">
              <w:rPr>
                <w:color w:val="333333"/>
                <w:sz w:val="12"/>
                <w:szCs w:val="20"/>
                <w:lang w:val="es-GT" w:eastAsia="es-GT"/>
              </w:rPr>
              <w:t>PARTIDAS NO ASIGNABLES A PROGRAMAS</w:t>
            </w:r>
          </w:p>
        </w:tc>
        <w:tc>
          <w:tcPr>
            <w:tcW w:w="1348"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16.7</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16.6</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0.1</w:t>
            </w:r>
          </w:p>
        </w:tc>
        <w:tc>
          <w:tcPr>
            <w:tcW w:w="709" w:type="dxa"/>
            <w:tcBorders>
              <w:top w:val="nil"/>
              <w:left w:val="nil"/>
              <w:bottom w:val="nil"/>
              <w:right w:val="single" w:sz="8"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99.5%</w:t>
            </w:r>
          </w:p>
        </w:tc>
      </w:tr>
      <w:tr w:rsidR="00625719" w:rsidRPr="007E392F" w:rsidTr="0034463A">
        <w:trPr>
          <w:trHeight w:val="304"/>
        </w:trPr>
        <w:tc>
          <w:tcPr>
            <w:tcW w:w="5031" w:type="dxa"/>
            <w:tcBorders>
              <w:top w:val="nil"/>
              <w:left w:val="single" w:sz="8" w:space="0" w:color="auto"/>
              <w:bottom w:val="nil"/>
              <w:right w:val="single" w:sz="4" w:space="0" w:color="auto"/>
            </w:tcBorders>
            <w:shd w:val="clear" w:color="FFFFFF" w:fill="FFFFFF"/>
            <w:noWrap/>
            <w:vAlign w:val="bottom"/>
            <w:hideMark/>
          </w:tcPr>
          <w:p w:rsidR="00625719" w:rsidRPr="007E392F" w:rsidRDefault="00625719" w:rsidP="00F161D7">
            <w:pPr>
              <w:ind w:firstLineChars="200" w:firstLine="240"/>
              <w:rPr>
                <w:color w:val="333333"/>
                <w:sz w:val="12"/>
                <w:szCs w:val="20"/>
                <w:lang w:val="es-GT" w:eastAsia="es-GT"/>
              </w:rPr>
            </w:pPr>
            <w:r w:rsidRPr="007E392F">
              <w:rPr>
                <w:color w:val="333333"/>
                <w:sz w:val="12"/>
                <w:szCs w:val="20"/>
                <w:lang w:val="es-GT" w:eastAsia="es-GT"/>
              </w:rPr>
              <w:t>RECONSTRUCCIÓN N7</w:t>
            </w:r>
          </w:p>
        </w:tc>
        <w:tc>
          <w:tcPr>
            <w:tcW w:w="1348"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0.0</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12.1</w:t>
            </w:r>
          </w:p>
        </w:tc>
        <w:tc>
          <w:tcPr>
            <w:tcW w:w="1134" w:type="dxa"/>
            <w:tcBorders>
              <w:top w:val="nil"/>
              <w:left w:val="nil"/>
              <w:bottom w:val="nil"/>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-12.1</w:t>
            </w:r>
          </w:p>
        </w:tc>
        <w:tc>
          <w:tcPr>
            <w:tcW w:w="709" w:type="dxa"/>
            <w:tcBorders>
              <w:top w:val="nil"/>
              <w:left w:val="nil"/>
              <w:bottom w:val="nil"/>
              <w:right w:val="single" w:sz="8" w:space="0" w:color="auto"/>
            </w:tcBorders>
            <w:shd w:val="clear" w:color="FFFFFF" w:fill="FFFFFF"/>
            <w:noWrap/>
            <w:vAlign w:val="center"/>
          </w:tcPr>
          <w:p w:rsidR="00625719" w:rsidRPr="007E392F" w:rsidRDefault="00625719" w:rsidP="00F161D7">
            <w:pPr>
              <w:jc w:val="right"/>
              <w:rPr>
                <w:color w:val="333333"/>
                <w:sz w:val="12"/>
                <w:szCs w:val="20"/>
                <w:lang w:val="es-GT" w:eastAsia="es-GT"/>
              </w:rPr>
            </w:pPr>
          </w:p>
        </w:tc>
      </w:tr>
      <w:tr w:rsidR="00625719" w:rsidRPr="007E392F" w:rsidTr="0034463A">
        <w:trPr>
          <w:trHeight w:val="319"/>
        </w:trPr>
        <w:tc>
          <w:tcPr>
            <w:tcW w:w="5031" w:type="dxa"/>
            <w:tcBorders>
              <w:top w:val="nil"/>
              <w:left w:val="single" w:sz="8" w:space="0" w:color="auto"/>
              <w:bottom w:val="single" w:sz="8" w:space="0" w:color="auto"/>
              <w:right w:val="single" w:sz="4" w:space="0" w:color="auto"/>
            </w:tcBorders>
            <w:shd w:val="clear" w:color="FFFFFF" w:fill="FFFFFF"/>
            <w:noWrap/>
            <w:vAlign w:val="bottom"/>
            <w:hideMark/>
          </w:tcPr>
          <w:p w:rsidR="00625719" w:rsidRPr="007E392F" w:rsidRDefault="00625719" w:rsidP="00F161D7">
            <w:pPr>
              <w:ind w:firstLineChars="200" w:firstLine="240"/>
              <w:rPr>
                <w:color w:val="333333"/>
                <w:sz w:val="12"/>
                <w:szCs w:val="20"/>
                <w:lang w:val="es-GT" w:eastAsia="es-GT"/>
              </w:rPr>
            </w:pPr>
            <w:r w:rsidRPr="007E392F">
              <w:rPr>
                <w:color w:val="333333"/>
                <w:sz w:val="12"/>
                <w:szCs w:val="20"/>
                <w:lang w:val="es-GT" w:eastAsia="es-GT"/>
              </w:rPr>
              <w:t>ATENCIÓN POR DESASTRES NATURALES Y CALAMIDADES PÚBLICAS</w:t>
            </w:r>
          </w:p>
        </w:tc>
        <w:tc>
          <w:tcPr>
            <w:tcW w:w="1348"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0.0</w:t>
            </w:r>
          </w:p>
        </w:tc>
        <w:tc>
          <w:tcPr>
            <w:tcW w:w="1134" w:type="dxa"/>
            <w:tcBorders>
              <w:top w:val="nil"/>
              <w:left w:val="nil"/>
              <w:bottom w:val="single" w:sz="8" w:space="0" w:color="auto"/>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4.6</w:t>
            </w:r>
          </w:p>
        </w:tc>
        <w:tc>
          <w:tcPr>
            <w:tcW w:w="1134" w:type="dxa"/>
            <w:tcBorders>
              <w:top w:val="nil"/>
              <w:left w:val="nil"/>
              <w:bottom w:val="single" w:sz="8" w:space="0" w:color="auto"/>
              <w:right w:val="single" w:sz="4" w:space="0" w:color="auto"/>
            </w:tcBorders>
            <w:shd w:val="clear" w:color="FFFFFF" w:fill="FFFFFF"/>
            <w:noWrap/>
            <w:vAlign w:val="center"/>
            <w:hideMark/>
          </w:tcPr>
          <w:p w:rsidR="00625719" w:rsidRPr="007E392F" w:rsidRDefault="00625719" w:rsidP="00F161D7">
            <w:pPr>
              <w:jc w:val="right"/>
              <w:rPr>
                <w:color w:val="333333"/>
                <w:sz w:val="12"/>
                <w:szCs w:val="20"/>
                <w:lang w:val="es-GT" w:eastAsia="es-GT"/>
              </w:rPr>
            </w:pPr>
            <w:r w:rsidRPr="007E392F">
              <w:rPr>
                <w:color w:val="333333"/>
                <w:sz w:val="12"/>
                <w:szCs w:val="20"/>
                <w:lang w:val="es-GT" w:eastAsia="es-GT"/>
              </w:rPr>
              <w:t>-4.6</w:t>
            </w:r>
          </w:p>
        </w:tc>
        <w:tc>
          <w:tcPr>
            <w:tcW w:w="709" w:type="dxa"/>
            <w:tcBorders>
              <w:top w:val="nil"/>
              <w:left w:val="nil"/>
              <w:bottom w:val="single" w:sz="8" w:space="0" w:color="auto"/>
              <w:right w:val="single" w:sz="8" w:space="0" w:color="auto"/>
            </w:tcBorders>
            <w:shd w:val="clear" w:color="FFFFFF" w:fill="FFFFFF"/>
            <w:noWrap/>
            <w:vAlign w:val="center"/>
          </w:tcPr>
          <w:p w:rsidR="00625719" w:rsidRPr="007E392F" w:rsidRDefault="00625719" w:rsidP="00F161D7">
            <w:pPr>
              <w:jc w:val="right"/>
              <w:rPr>
                <w:color w:val="333333"/>
                <w:sz w:val="12"/>
                <w:szCs w:val="20"/>
                <w:lang w:val="es-GT" w:eastAsia="es-GT"/>
              </w:rPr>
            </w:pP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Pr="00D108FD" w:rsidRDefault="00625719" w:rsidP="00625719">
      <w:pPr>
        <w:jc w:val="both"/>
      </w:pPr>
    </w:p>
    <w:p w:rsidR="00625719" w:rsidRPr="00D108FD" w:rsidRDefault="00625719" w:rsidP="00625719">
      <w:pPr>
        <w:jc w:val="both"/>
      </w:pPr>
    </w:p>
    <w:p w:rsidR="00625719" w:rsidRDefault="00625719" w:rsidP="00625719">
      <w:pPr>
        <w:jc w:val="both"/>
        <w:rPr>
          <w:b/>
        </w:rPr>
      </w:pPr>
      <w:r w:rsidRPr="00D108FD">
        <w:rPr>
          <w:b/>
        </w:rPr>
        <w:t>Ministerio de la Defensa Nacional</w:t>
      </w:r>
      <w:r>
        <w:rPr>
          <w:b/>
        </w:rPr>
        <w:t>:</w:t>
      </w:r>
    </w:p>
    <w:p w:rsidR="00625719" w:rsidRPr="00D108FD" w:rsidRDefault="00625719" w:rsidP="00625719">
      <w:pPr>
        <w:jc w:val="both"/>
        <w:rPr>
          <w:b/>
        </w:rPr>
      </w:pPr>
    </w:p>
    <w:p w:rsidR="00625719" w:rsidRDefault="00625719" w:rsidP="00625719">
      <w:pPr>
        <w:jc w:val="both"/>
      </w:pPr>
      <w:r>
        <w:t xml:space="preserve">Inició 2019 con </w:t>
      </w:r>
      <w:r w:rsidRPr="00D108FD">
        <w:t>un presupuesto</w:t>
      </w:r>
      <w:r>
        <w:t xml:space="preserve"> aprobado</w:t>
      </w:r>
      <w:r w:rsidRPr="00D108FD">
        <w:t xml:space="preserve"> de </w:t>
      </w:r>
      <w:r>
        <w:t>Q</w:t>
      </w:r>
      <w:r w:rsidR="001A28AD">
        <w:t>.</w:t>
      </w:r>
      <w:r w:rsidRPr="00D108FD">
        <w:t>2,</w:t>
      </w:r>
      <w:r>
        <w:t>627.7</w:t>
      </w:r>
      <w:r w:rsidRPr="00D108FD">
        <w:t xml:space="preserve"> millones, y </w:t>
      </w:r>
      <w:r>
        <w:t>su</w:t>
      </w:r>
      <w:r w:rsidRPr="00D108FD">
        <w:t xml:space="preserve"> ejecución presupuestaria fue de </w:t>
      </w:r>
      <w:r>
        <w:t>Q</w:t>
      </w:r>
      <w:r w:rsidR="001A28AD">
        <w:t>.</w:t>
      </w:r>
      <w:r w:rsidRPr="00D108FD">
        <w:t>2,</w:t>
      </w:r>
      <w:r>
        <w:t>554.5</w:t>
      </w:r>
      <w:r w:rsidRPr="00D108FD">
        <w:t xml:space="preserve"> millones equivalente al 9</w:t>
      </w:r>
      <w:r>
        <w:t>7.2</w:t>
      </w:r>
      <w:r w:rsidRPr="00D108FD">
        <w:t>%.</w:t>
      </w:r>
    </w:p>
    <w:p w:rsidR="00625719" w:rsidRPr="00D108FD" w:rsidRDefault="00625719" w:rsidP="00625719">
      <w:pPr>
        <w:jc w:val="both"/>
      </w:pPr>
    </w:p>
    <w:p w:rsidR="00625719" w:rsidRPr="00E56A52" w:rsidRDefault="00625719" w:rsidP="00625719">
      <w:pPr>
        <w:jc w:val="both"/>
        <w:rPr>
          <w:lang w:val="es-GT"/>
        </w:rPr>
      </w:pPr>
      <w:r w:rsidRPr="00D108FD">
        <w:t xml:space="preserve">Hubo </w:t>
      </w:r>
      <w:r>
        <w:t>4</w:t>
      </w:r>
      <w:r w:rsidRPr="00D108FD">
        <w:t xml:space="preserve"> programas dentro de las prioridades de </w:t>
      </w:r>
      <w:r>
        <w:t xml:space="preserve">su </w:t>
      </w:r>
      <w:r w:rsidRPr="00D108FD">
        <w:t xml:space="preserve">ejecución presupuestaria, el primero se refiere a “Defensa de la Soberanía e Integridad Territorial”, </w:t>
      </w:r>
      <w:r>
        <w:t>con</w:t>
      </w:r>
      <w:r w:rsidRPr="00D108FD">
        <w:t xml:space="preserve"> un presupuesto de </w:t>
      </w:r>
      <w:r>
        <w:t>Q</w:t>
      </w:r>
      <w:r w:rsidR="001A28AD">
        <w:t>.</w:t>
      </w:r>
      <w:r>
        <w:t>997.8</w:t>
      </w:r>
      <w:r w:rsidRPr="00D108FD">
        <w:t xml:space="preserve"> millones</w:t>
      </w:r>
      <w:r>
        <w:t xml:space="preserve"> con</w:t>
      </w:r>
      <w:r w:rsidRPr="00D108FD">
        <w:t xml:space="preserve"> </w:t>
      </w:r>
      <w:r>
        <w:t>una</w:t>
      </w:r>
      <w:r w:rsidRPr="00D108FD">
        <w:t xml:space="preserve"> ejecución presupuestaria </w:t>
      </w:r>
      <w:r>
        <w:t>d</w:t>
      </w:r>
      <w:r w:rsidRPr="00D108FD">
        <w:t xml:space="preserve">el </w:t>
      </w:r>
      <w:r>
        <w:t>107.3</w:t>
      </w:r>
      <w:r w:rsidRPr="00D108FD">
        <w:t>%</w:t>
      </w:r>
      <w:r>
        <w:t xml:space="preserve"> equivalente a Q</w:t>
      </w:r>
      <w:r w:rsidR="001A28AD">
        <w:t>.</w:t>
      </w:r>
      <w:r>
        <w:t>1,070</w:t>
      </w:r>
      <w:r w:rsidR="001A28AD">
        <w:t>.</w:t>
      </w:r>
      <w:r>
        <w:t>4 millones</w:t>
      </w:r>
      <w:r w:rsidRPr="00D108FD">
        <w:t>.</w:t>
      </w:r>
    </w:p>
    <w:p w:rsidR="00625719" w:rsidRPr="00D108FD" w:rsidRDefault="00625719" w:rsidP="00625719">
      <w:pPr>
        <w:jc w:val="both"/>
      </w:pPr>
    </w:p>
    <w:p w:rsidR="00625719" w:rsidRDefault="00625719" w:rsidP="00625719">
      <w:pPr>
        <w:jc w:val="both"/>
      </w:pPr>
      <w:r w:rsidRPr="00D108FD">
        <w:t xml:space="preserve">El segundo programa se refiere a las Actividades Centrales, </w:t>
      </w:r>
      <w:r>
        <w:t>con</w:t>
      </w:r>
      <w:r w:rsidRPr="00D108FD">
        <w:t xml:space="preserve"> un presupuesto</w:t>
      </w:r>
      <w:r>
        <w:t xml:space="preserve"> aprobado</w:t>
      </w:r>
      <w:r w:rsidRPr="00D108FD">
        <w:t xml:space="preserve"> de </w:t>
      </w:r>
      <w:r>
        <w:t>Q</w:t>
      </w:r>
      <w:r w:rsidR="001A28AD">
        <w:t>.</w:t>
      </w:r>
      <w:r>
        <w:t>926.5</w:t>
      </w:r>
      <w:r w:rsidRPr="00D108FD">
        <w:t xml:space="preserve"> millones, </w:t>
      </w:r>
      <w:r>
        <w:t>una</w:t>
      </w:r>
      <w:r w:rsidRPr="00D108FD">
        <w:t xml:space="preserve"> ejecución </w:t>
      </w:r>
      <w:r>
        <w:t>de</w:t>
      </w:r>
      <w:r w:rsidRPr="00D108FD">
        <w:t xml:space="preserve"> </w:t>
      </w:r>
      <w:r>
        <w:t>Q</w:t>
      </w:r>
      <w:r w:rsidR="001A28AD">
        <w:t>.</w:t>
      </w:r>
      <w:r>
        <w:t>813.3</w:t>
      </w:r>
      <w:r w:rsidRPr="00D108FD">
        <w:t xml:space="preserve"> millones equivalente al </w:t>
      </w:r>
      <w:r>
        <w:t>87.</w:t>
      </w:r>
      <w:r w:rsidRPr="00D108FD">
        <w:t>8%</w:t>
      </w:r>
      <w:r>
        <w:t xml:space="preserve">. </w:t>
      </w:r>
      <w:r w:rsidRPr="00D108FD">
        <w:t xml:space="preserve">El tercer programa Actividades Comunes con </w:t>
      </w:r>
      <w:r>
        <w:t xml:space="preserve">un </w:t>
      </w:r>
      <w:r w:rsidRPr="00D108FD">
        <w:t xml:space="preserve">presupuesto </w:t>
      </w:r>
      <w:r>
        <w:t>de</w:t>
      </w:r>
      <w:r w:rsidRPr="00D108FD">
        <w:t xml:space="preserve"> </w:t>
      </w:r>
      <w:r>
        <w:t>Q</w:t>
      </w:r>
      <w:r w:rsidR="001A28AD">
        <w:t>.</w:t>
      </w:r>
      <w:r>
        <w:t>306.2</w:t>
      </w:r>
      <w:r w:rsidRPr="00D108FD">
        <w:t xml:space="preserve"> millones, </w:t>
      </w:r>
      <w:r>
        <w:t>registró</w:t>
      </w:r>
      <w:r w:rsidRPr="00D108FD">
        <w:t xml:space="preserve"> una ejecución presupuestaria de </w:t>
      </w:r>
      <w:r>
        <w:t>Q</w:t>
      </w:r>
      <w:r w:rsidR="001A28AD">
        <w:t>.</w:t>
      </w:r>
      <w:r w:rsidRPr="00D108FD">
        <w:t>2</w:t>
      </w:r>
      <w:r>
        <w:t>9</w:t>
      </w:r>
      <w:r w:rsidRPr="00D108FD">
        <w:t>5</w:t>
      </w:r>
      <w:r>
        <w:t>.</w:t>
      </w:r>
      <w:r w:rsidRPr="00D108FD">
        <w:t>1 millones equivalente a</w:t>
      </w:r>
      <w:r>
        <w:t>l</w:t>
      </w:r>
      <w:r w:rsidRPr="00D108FD">
        <w:t xml:space="preserve"> 9</w:t>
      </w:r>
      <w:r>
        <w:t>6.4%.</w:t>
      </w:r>
    </w:p>
    <w:p w:rsidR="00625719" w:rsidRPr="00D108FD" w:rsidRDefault="00625719" w:rsidP="00625719">
      <w:pPr>
        <w:jc w:val="both"/>
      </w:pPr>
    </w:p>
    <w:p w:rsidR="00625719" w:rsidRDefault="00625719" w:rsidP="00625719">
      <w:pPr>
        <w:jc w:val="both"/>
      </w:pPr>
      <w:r w:rsidRPr="00D108FD">
        <w:t xml:space="preserve">El cuarto programa relevante, según las cifras de ejecución presupuestaria es </w:t>
      </w:r>
      <w:r>
        <w:t>el de Partidas No Asignables a Programas</w:t>
      </w:r>
      <w:r w:rsidRPr="00D108FD">
        <w:t xml:space="preserve">, </w:t>
      </w:r>
      <w:r>
        <w:t>con un presupuesto de</w:t>
      </w:r>
      <w:r w:rsidRPr="00D108FD">
        <w:t xml:space="preserve"> </w:t>
      </w:r>
      <w:r>
        <w:t>Q</w:t>
      </w:r>
      <w:r w:rsidR="001A28AD">
        <w:t>.</w:t>
      </w:r>
      <w:r>
        <w:t>161.</w:t>
      </w:r>
      <w:r w:rsidRPr="00D108FD">
        <w:t xml:space="preserve">2 millones, y una ejecución presupuestaria de </w:t>
      </w:r>
      <w:r>
        <w:t>Q</w:t>
      </w:r>
      <w:r w:rsidR="001A28AD">
        <w:t>.</w:t>
      </w:r>
      <w:r>
        <w:t>161.</w:t>
      </w:r>
      <w:r w:rsidRPr="00D108FD">
        <w:t xml:space="preserve">2 millones equivalentes al </w:t>
      </w:r>
      <w:r>
        <w:t>100.0</w:t>
      </w:r>
      <w:r w:rsidRPr="00D108FD">
        <w:t>%.</w:t>
      </w:r>
    </w:p>
    <w:p w:rsidR="00625719" w:rsidRPr="00D108FD" w:rsidRDefault="00625719" w:rsidP="00625719">
      <w:pPr>
        <w:jc w:val="both"/>
      </w:pPr>
    </w:p>
    <w:p w:rsidR="00625719" w:rsidRDefault="00625719" w:rsidP="00625719">
      <w:pPr>
        <w:jc w:val="both"/>
      </w:pPr>
      <w:r w:rsidRPr="00D108FD">
        <w:t>Finalmente</w:t>
      </w:r>
      <w:r>
        <w:t>, los 4 restantes programas experimentaron una ejecución por debajo de los Q</w:t>
      </w:r>
      <w:r w:rsidR="001A28AD">
        <w:t>.</w:t>
      </w:r>
      <w:r>
        <w:t>76.2 millones, ejecutado por el programa Proyección Diplomática y Apoyo en Misiones de Paz</w:t>
      </w:r>
      <w:r w:rsidRPr="00D108FD">
        <w:t>.</w:t>
      </w:r>
    </w:p>
    <w:p w:rsidR="00625719" w:rsidRPr="00D108FD" w:rsidRDefault="00625719" w:rsidP="00625719">
      <w:pPr>
        <w:jc w:val="both"/>
      </w:pPr>
    </w:p>
    <w:p w:rsidR="00625719" w:rsidRDefault="00625719" w:rsidP="00625719">
      <w:pPr>
        <w:jc w:val="both"/>
      </w:pPr>
      <w:r>
        <w:t xml:space="preserve">En su ejecución destaca </w:t>
      </w:r>
      <w:r w:rsidRPr="00D108FD">
        <w:t>el renglón 453</w:t>
      </w:r>
      <w:r>
        <w:t xml:space="preserve"> “</w:t>
      </w:r>
      <w:r w:rsidRPr="00D108FD">
        <w:t xml:space="preserve">Transferencias a </w:t>
      </w:r>
      <w:r>
        <w:t>e</w:t>
      </w:r>
      <w:r w:rsidRPr="00D108FD">
        <w:t xml:space="preserve">ntidades </w:t>
      </w:r>
      <w:r>
        <w:t>d</w:t>
      </w:r>
      <w:r w:rsidRPr="00D108FD">
        <w:t xml:space="preserve">escentralizadas y </w:t>
      </w:r>
      <w:r>
        <w:t>a</w:t>
      </w:r>
      <w:r w:rsidRPr="00D108FD">
        <w:t xml:space="preserve">utónomas no </w:t>
      </w:r>
      <w:r>
        <w:t>f</w:t>
      </w:r>
      <w:r w:rsidRPr="00D108FD">
        <w:t>inancieras</w:t>
      </w:r>
      <w:r>
        <w:t>” (para funcionamiento)</w:t>
      </w:r>
      <w:r w:rsidRPr="00D108FD">
        <w:t xml:space="preserve">, </w:t>
      </w:r>
      <w:r>
        <w:t xml:space="preserve">que se refiere </w:t>
      </w:r>
      <w:r w:rsidRPr="00D108FD">
        <w:t>específicamente al Instituto de Previsión Militar</w:t>
      </w:r>
      <w:r>
        <w:t xml:space="preserve"> que en el 201</w:t>
      </w:r>
      <w:r w:rsidR="001A28AD">
        <w:t>8</w:t>
      </w:r>
      <w:r>
        <w:t xml:space="preserve"> ejecutaron</w:t>
      </w:r>
      <w:r w:rsidRPr="00D108FD">
        <w:t xml:space="preserve"> </w:t>
      </w:r>
      <w:r>
        <w:t>Q</w:t>
      </w:r>
      <w:r w:rsidR="001A28AD">
        <w:t>.</w:t>
      </w:r>
      <w:r w:rsidRPr="00D108FD">
        <w:t>84.8 millones</w:t>
      </w:r>
      <w:r>
        <w:t xml:space="preserve"> y para 2019 tuvo un aumento del 60.2% equivalente a Q</w:t>
      </w:r>
      <w:r w:rsidR="001A28AD">
        <w:t>.</w:t>
      </w:r>
      <w:r>
        <w:t>135.9 millones. A</w:t>
      </w:r>
      <w:r w:rsidRPr="00D108FD">
        <w:t>simismo, a través del renglón 533</w:t>
      </w:r>
      <w:r>
        <w:t xml:space="preserve"> “</w:t>
      </w:r>
      <w:r w:rsidRPr="00D108FD">
        <w:t xml:space="preserve">Transferencias a </w:t>
      </w:r>
      <w:r>
        <w:t>e</w:t>
      </w:r>
      <w:r w:rsidRPr="00D108FD">
        <w:t xml:space="preserve">ntidades </w:t>
      </w:r>
      <w:r>
        <w:t>d</w:t>
      </w:r>
      <w:r w:rsidRPr="00D108FD">
        <w:t xml:space="preserve">escentralizadas y </w:t>
      </w:r>
      <w:r>
        <w:t>a</w:t>
      </w:r>
      <w:r w:rsidRPr="00D108FD">
        <w:t xml:space="preserve">utónomas no </w:t>
      </w:r>
      <w:r>
        <w:t>f</w:t>
      </w:r>
      <w:r w:rsidRPr="00D108FD">
        <w:t>inancieras</w:t>
      </w:r>
      <w:r>
        <w:t>” (por el lado de inversión)</w:t>
      </w:r>
      <w:r w:rsidRPr="00D108FD">
        <w:t xml:space="preserve">, también al Instituto de Previsión Militar por </w:t>
      </w:r>
      <w:r>
        <w:t>Q</w:t>
      </w:r>
      <w:r w:rsidR="001A28AD">
        <w:t>.</w:t>
      </w:r>
      <w:r>
        <w:t>2</w:t>
      </w:r>
      <w:r w:rsidRPr="00D108FD">
        <w:t>5.0 millones.</w:t>
      </w:r>
    </w:p>
    <w:p w:rsidR="00625719" w:rsidRDefault="00625719" w:rsidP="00625719">
      <w:pPr>
        <w:jc w:val="both"/>
      </w:pPr>
    </w:p>
    <w:p w:rsidR="00625719" w:rsidRDefault="00625719" w:rsidP="00625719">
      <w:pPr>
        <w:jc w:val="both"/>
      </w:pPr>
      <w:r>
        <w:t xml:space="preserve">Otro renglón de gasto utilizado fue el 551 </w:t>
      </w:r>
      <w:r w:rsidR="001A28AD">
        <w:t>“</w:t>
      </w:r>
      <w:r>
        <w:t xml:space="preserve">Transferencias a </w:t>
      </w:r>
      <w:r w:rsidR="001A28AD">
        <w:t>g</w:t>
      </w:r>
      <w:r>
        <w:t xml:space="preserve">obiernos </w:t>
      </w:r>
      <w:r w:rsidR="001A28AD">
        <w:t>e</w:t>
      </w:r>
      <w:r>
        <w:t>xtranjeros</w:t>
      </w:r>
      <w:r w:rsidR="001A28AD">
        <w:t>”</w:t>
      </w:r>
      <w:r>
        <w:t>, que se refiere a</w:t>
      </w:r>
      <w:r w:rsidR="001A28AD">
        <w:t>l</w:t>
      </w:r>
      <w:r>
        <w:t xml:space="preserve"> </w:t>
      </w:r>
      <w:r w:rsidRPr="00B43EB9">
        <w:t>Convenio Específico de Cooperación Técnico-Militar entre el Ministerio de la Defensa Nacional de la República de Colombia a través de su Industria Militar -INDUMIL- y el Ministerio de la Defensa Nacional de la República de Guatemala para el suministro de equipo y material militar</w:t>
      </w:r>
      <w:r w:rsidR="001A28AD">
        <w:t>,</w:t>
      </w:r>
      <w:r>
        <w:t xml:space="preserve"> por valor de Q</w:t>
      </w:r>
      <w:r w:rsidR="001A28AD">
        <w:t>.</w:t>
      </w:r>
      <w:r>
        <w:t>171.7 millones, sin presupuesto aprobado.</w:t>
      </w:r>
    </w:p>
    <w:p w:rsidR="00625719" w:rsidRPr="00D108FD" w:rsidRDefault="00625719" w:rsidP="00625719">
      <w:pPr>
        <w:jc w:val="both"/>
      </w:pP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Programa!F36C2:F46C6" \a \f 4 \h  \* MERGEFORMAT </w:instrText>
      </w:r>
      <w:r>
        <w:rPr>
          <w:noProof/>
          <w:lang w:val="es-GT" w:eastAsia="es-GT"/>
        </w:rPr>
        <w:fldChar w:fldCharType="separate"/>
      </w:r>
    </w:p>
    <w:tbl>
      <w:tblPr>
        <w:tblW w:w="9356" w:type="dxa"/>
        <w:tblInd w:w="70" w:type="dxa"/>
        <w:tblCellMar>
          <w:left w:w="70" w:type="dxa"/>
          <w:right w:w="70" w:type="dxa"/>
        </w:tblCellMar>
        <w:tblLook w:val="04A0" w:firstRow="1" w:lastRow="0" w:firstColumn="1" w:lastColumn="0" w:noHBand="0" w:noVBand="1"/>
      </w:tblPr>
      <w:tblGrid>
        <w:gridCol w:w="5077"/>
        <w:gridCol w:w="1160"/>
        <w:gridCol w:w="1134"/>
        <w:gridCol w:w="1134"/>
        <w:gridCol w:w="851"/>
      </w:tblGrid>
      <w:tr w:rsidR="00625719" w:rsidRPr="00BE2667" w:rsidTr="00B45D20">
        <w:trPr>
          <w:trHeight w:val="290"/>
        </w:trPr>
        <w:tc>
          <w:tcPr>
            <w:tcW w:w="5077"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BE2667" w:rsidRDefault="00625719" w:rsidP="00F161D7">
            <w:pPr>
              <w:jc w:val="center"/>
              <w:rPr>
                <w:b/>
                <w:bCs/>
                <w:color w:val="000000"/>
                <w:sz w:val="12"/>
                <w:szCs w:val="20"/>
                <w:lang w:val="es-GT" w:eastAsia="es-GT"/>
              </w:rPr>
            </w:pPr>
            <w:r w:rsidRPr="00BE2667">
              <w:rPr>
                <w:b/>
                <w:bCs/>
                <w:color w:val="000000"/>
                <w:sz w:val="12"/>
                <w:szCs w:val="20"/>
                <w:lang w:val="es-GT" w:eastAsia="es-GT"/>
              </w:rPr>
              <w:t>DESCRIPCION</w:t>
            </w:r>
          </w:p>
        </w:tc>
        <w:tc>
          <w:tcPr>
            <w:tcW w:w="1160" w:type="dxa"/>
            <w:tcBorders>
              <w:top w:val="single" w:sz="8" w:space="0" w:color="auto"/>
              <w:left w:val="nil"/>
              <w:bottom w:val="single" w:sz="4" w:space="0" w:color="auto"/>
              <w:right w:val="single" w:sz="4" w:space="0" w:color="auto"/>
            </w:tcBorders>
            <w:shd w:val="clear" w:color="000000" w:fill="8DB4E2"/>
            <w:noWrap/>
            <w:hideMark/>
          </w:tcPr>
          <w:p w:rsidR="00625719" w:rsidRPr="00BE2667" w:rsidRDefault="00625719" w:rsidP="00F161D7">
            <w:pPr>
              <w:jc w:val="center"/>
              <w:rPr>
                <w:b/>
                <w:bCs/>
                <w:color w:val="000000"/>
                <w:sz w:val="12"/>
                <w:szCs w:val="20"/>
                <w:lang w:val="es-GT" w:eastAsia="es-GT"/>
              </w:rPr>
            </w:pPr>
            <w:r w:rsidRPr="00BE2667">
              <w:rPr>
                <w:b/>
                <w:bCs/>
                <w:color w:val="000000"/>
                <w:sz w:val="12"/>
                <w:szCs w:val="20"/>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BE2667" w:rsidRDefault="00625719" w:rsidP="00F161D7">
            <w:pPr>
              <w:jc w:val="center"/>
              <w:rPr>
                <w:b/>
                <w:bCs/>
                <w:color w:val="000000"/>
                <w:sz w:val="12"/>
                <w:szCs w:val="20"/>
                <w:lang w:val="es-GT" w:eastAsia="es-GT"/>
              </w:rPr>
            </w:pPr>
            <w:r w:rsidRPr="00BE2667">
              <w:rPr>
                <w:b/>
                <w:bCs/>
                <w:color w:val="000000"/>
                <w:sz w:val="12"/>
                <w:szCs w:val="20"/>
                <w:lang w:val="es-GT" w:eastAsia="es-GT"/>
              </w:rPr>
              <w:t>EJECUCIÓN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BE2667" w:rsidRDefault="00625719" w:rsidP="00F161D7">
            <w:pPr>
              <w:jc w:val="center"/>
              <w:rPr>
                <w:b/>
                <w:bCs/>
                <w:color w:val="000000"/>
                <w:sz w:val="12"/>
                <w:szCs w:val="20"/>
                <w:lang w:val="es-GT" w:eastAsia="es-GT"/>
              </w:rPr>
            </w:pPr>
            <w:r w:rsidRPr="00BE2667">
              <w:rPr>
                <w:b/>
                <w:bCs/>
                <w:color w:val="000000"/>
                <w:sz w:val="12"/>
                <w:szCs w:val="20"/>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hideMark/>
          </w:tcPr>
          <w:p w:rsidR="00625719" w:rsidRPr="00BE2667" w:rsidRDefault="00625719" w:rsidP="00F161D7">
            <w:pPr>
              <w:jc w:val="center"/>
              <w:rPr>
                <w:b/>
                <w:bCs/>
                <w:color w:val="000000"/>
                <w:sz w:val="12"/>
                <w:szCs w:val="20"/>
                <w:lang w:val="es-GT" w:eastAsia="es-GT"/>
              </w:rPr>
            </w:pPr>
            <w:r w:rsidRPr="00BE2667">
              <w:rPr>
                <w:b/>
                <w:bCs/>
                <w:color w:val="000000"/>
                <w:sz w:val="12"/>
                <w:szCs w:val="20"/>
                <w:lang w:val="es-GT" w:eastAsia="es-GT"/>
              </w:rPr>
              <w:t>% Ejec</w:t>
            </w:r>
          </w:p>
        </w:tc>
      </w:tr>
      <w:tr w:rsidR="00625719" w:rsidRPr="00BE2667" w:rsidTr="00B45D20">
        <w:trPr>
          <w:trHeight w:val="290"/>
        </w:trPr>
        <w:tc>
          <w:tcPr>
            <w:tcW w:w="5077" w:type="dxa"/>
            <w:tcBorders>
              <w:top w:val="nil"/>
              <w:left w:val="single" w:sz="8" w:space="0" w:color="auto"/>
              <w:bottom w:val="nil"/>
              <w:right w:val="single" w:sz="4" w:space="0" w:color="auto"/>
            </w:tcBorders>
            <w:shd w:val="clear" w:color="FFFFFF" w:fill="FFFFFF"/>
            <w:noWrap/>
            <w:vAlign w:val="bottom"/>
            <w:hideMark/>
          </w:tcPr>
          <w:p w:rsidR="00625719" w:rsidRPr="00BE2667" w:rsidRDefault="00625719" w:rsidP="00F161D7">
            <w:pPr>
              <w:rPr>
                <w:b/>
                <w:bCs/>
                <w:color w:val="333333"/>
                <w:sz w:val="12"/>
                <w:szCs w:val="20"/>
                <w:lang w:val="es-GT" w:eastAsia="es-GT"/>
              </w:rPr>
            </w:pPr>
            <w:r w:rsidRPr="00BE2667">
              <w:rPr>
                <w:b/>
                <w:bCs/>
                <w:color w:val="333333"/>
                <w:sz w:val="12"/>
                <w:szCs w:val="20"/>
                <w:lang w:val="es-GT" w:eastAsia="es-GT"/>
              </w:rPr>
              <w:t>MINISTERIO DE LA DEFENSA NACIONAL</w:t>
            </w:r>
          </w:p>
        </w:tc>
        <w:tc>
          <w:tcPr>
            <w:tcW w:w="1160"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b/>
                <w:bCs/>
                <w:color w:val="333333"/>
                <w:sz w:val="12"/>
                <w:szCs w:val="20"/>
                <w:lang w:val="es-GT" w:eastAsia="es-GT"/>
              </w:rPr>
            </w:pPr>
            <w:r w:rsidRPr="00BE2667">
              <w:rPr>
                <w:b/>
                <w:bCs/>
                <w:color w:val="333333"/>
                <w:sz w:val="12"/>
                <w:szCs w:val="20"/>
                <w:lang w:val="es-GT" w:eastAsia="es-GT"/>
              </w:rPr>
              <w:t>2,627.7</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b/>
                <w:bCs/>
                <w:color w:val="333333"/>
                <w:sz w:val="12"/>
                <w:szCs w:val="20"/>
                <w:lang w:val="es-GT" w:eastAsia="es-GT"/>
              </w:rPr>
            </w:pPr>
            <w:r w:rsidRPr="00BE2667">
              <w:rPr>
                <w:b/>
                <w:bCs/>
                <w:color w:val="333333"/>
                <w:sz w:val="12"/>
                <w:szCs w:val="20"/>
                <w:lang w:val="es-GT" w:eastAsia="es-GT"/>
              </w:rPr>
              <w:t>2,554.5</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b/>
                <w:bCs/>
                <w:color w:val="333333"/>
                <w:sz w:val="12"/>
                <w:szCs w:val="20"/>
                <w:lang w:val="es-GT" w:eastAsia="es-GT"/>
              </w:rPr>
            </w:pPr>
            <w:r w:rsidRPr="00BE2667">
              <w:rPr>
                <w:b/>
                <w:bCs/>
                <w:color w:val="333333"/>
                <w:sz w:val="12"/>
                <w:szCs w:val="20"/>
                <w:lang w:val="es-GT" w:eastAsia="es-GT"/>
              </w:rPr>
              <w:t>73.2</w:t>
            </w:r>
          </w:p>
        </w:tc>
        <w:tc>
          <w:tcPr>
            <w:tcW w:w="851" w:type="dxa"/>
            <w:tcBorders>
              <w:top w:val="nil"/>
              <w:left w:val="nil"/>
              <w:bottom w:val="nil"/>
              <w:right w:val="single" w:sz="8" w:space="0" w:color="auto"/>
            </w:tcBorders>
            <w:shd w:val="clear" w:color="FFFFFF" w:fill="FFFFFF"/>
            <w:noWrap/>
            <w:vAlign w:val="bottom"/>
            <w:hideMark/>
          </w:tcPr>
          <w:p w:rsidR="00625719" w:rsidRPr="00BE2667" w:rsidRDefault="00625719" w:rsidP="00F161D7">
            <w:pPr>
              <w:jc w:val="right"/>
              <w:rPr>
                <w:b/>
                <w:bCs/>
                <w:color w:val="333333"/>
                <w:sz w:val="12"/>
                <w:szCs w:val="20"/>
                <w:lang w:val="es-GT" w:eastAsia="es-GT"/>
              </w:rPr>
            </w:pPr>
            <w:r w:rsidRPr="00BE2667">
              <w:rPr>
                <w:b/>
                <w:bCs/>
                <w:color w:val="333333"/>
                <w:sz w:val="12"/>
                <w:szCs w:val="20"/>
                <w:lang w:val="es-GT" w:eastAsia="es-GT"/>
              </w:rPr>
              <w:t>97.2%</w:t>
            </w:r>
          </w:p>
        </w:tc>
      </w:tr>
      <w:tr w:rsidR="00625719" w:rsidRPr="00BE2667" w:rsidTr="00B45D20">
        <w:trPr>
          <w:trHeight w:val="290"/>
        </w:trPr>
        <w:tc>
          <w:tcPr>
            <w:tcW w:w="5077" w:type="dxa"/>
            <w:tcBorders>
              <w:top w:val="nil"/>
              <w:left w:val="single" w:sz="8" w:space="0" w:color="auto"/>
              <w:bottom w:val="nil"/>
              <w:right w:val="single" w:sz="4" w:space="0" w:color="auto"/>
            </w:tcBorders>
            <w:shd w:val="clear" w:color="FFFFFF" w:fill="FFFFFF"/>
            <w:noWrap/>
            <w:vAlign w:val="bottom"/>
            <w:hideMark/>
          </w:tcPr>
          <w:p w:rsidR="00625719" w:rsidRPr="00BE2667" w:rsidRDefault="00625719" w:rsidP="00F161D7">
            <w:pPr>
              <w:ind w:firstLineChars="200" w:firstLine="240"/>
              <w:rPr>
                <w:color w:val="333333"/>
                <w:sz w:val="12"/>
                <w:szCs w:val="20"/>
                <w:lang w:val="es-GT" w:eastAsia="es-GT"/>
              </w:rPr>
            </w:pPr>
            <w:r w:rsidRPr="00BE2667">
              <w:rPr>
                <w:color w:val="333333"/>
                <w:sz w:val="12"/>
                <w:szCs w:val="20"/>
                <w:lang w:val="es-GT" w:eastAsia="es-GT"/>
              </w:rPr>
              <w:t>DEFENSA DE LA SOBERANÍA E INTEGRIDAD TERRITORIAL</w:t>
            </w:r>
          </w:p>
        </w:tc>
        <w:tc>
          <w:tcPr>
            <w:tcW w:w="1160"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997.8</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1,070.4</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-72.6</w:t>
            </w:r>
          </w:p>
        </w:tc>
        <w:tc>
          <w:tcPr>
            <w:tcW w:w="851" w:type="dxa"/>
            <w:tcBorders>
              <w:top w:val="nil"/>
              <w:left w:val="nil"/>
              <w:bottom w:val="nil"/>
              <w:right w:val="single" w:sz="8"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107.3%</w:t>
            </w:r>
          </w:p>
        </w:tc>
      </w:tr>
      <w:tr w:rsidR="00625719" w:rsidRPr="00BE2667" w:rsidTr="00B45D20">
        <w:trPr>
          <w:trHeight w:val="290"/>
        </w:trPr>
        <w:tc>
          <w:tcPr>
            <w:tcW w:w="5077" w:type="dxa"/>
            <w:tcBorders>
              <w:top w:val="nil"/>
              <w:left w:val="single" w:sz="8" w:space="0" w:color="auto"/>
              <w:bottom w:val="nil"/>
              <w:right w:val="single" w:sz="4" w:space="0" w:color="auto"/>
            </w:tcBorders>
            <w:shd w:val="clear" w:color="FFFFFF" w:fill="FFFFFF"/>
            <w:noWrap/>
            <w:vAlign w:val="bottom"/>
            <w:hideMark/>
          </w:tcPr>
          <w:p w:rsidR="00625719" w:rsidRPr="00BE2667" w:rsidRDefault="00625719" w:rsidP="00F161D7">
            <w:pPr>
              <w:ind w:firstLineChars="200" w:firstLine="240"/>
              <w:rPr>
                <w:color w:val="333333"/>
                <w:sz w:val="12"/>
                <w:szCs w:val="20"/>
                <w:lang w:val="es-GT" w:eastAsia="es-GT"/>
              </w:rPr>
            </w:pPr>
            <w:r w:rsidRPr="00BE2667">
              <w:rPr>
                <w:color w:val="333333"/>
                <w:sz w:val="12"/>
                <w:szCs w:val="20"/>
                <w:lang w:val="es-GT" w:eastAsia="es-GT"/>
              </w:rPr>
              <w:t>ACTIVIDADES CENTRALES</w:t>
            </w:r>
          </w:p>
        </w:tc>
        <w:tc>
          <w:tcPr>
            <w:tcW w:w="1160"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926.5</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813.3</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113.2</w:t>
            </w:r>
          </w:p>
        </w:tc>
        <w:tc>
          <w:tcPr>
            <w:tcW w:w="851" w:type="dxa"/>
            <w:tcBorders>
              <w:top w:val="nil"/>
              <w:left w:val="nil"/>
              <w:bottom w:val="nil"/>
              <w:right w:val="single" w:sz="8"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87.8%</w:t>
            </w:r>
          </w:p>
        </w:tc>
      </w:tr>
      <w:tr w:rsidR="00625719" w:rsidRPr="00BE2667" w:rsidTr="00B45D20">
        <w:trPr>
          <w:trHeight w:val="290"/>
        </w:trPr>
        <w:tc>
          <w:tcPr>
            <w:tcW w:w="5077" w:type="dxa"/>
            <w:tcBorders>
              <w:top w:val="nil"/>
              <w:left w:val="single" w:sz="8" w:space="0" w:color="auto"/>
              <w:bottom w:val="nil"/>
              <w:right w:val="single" w:sz="4" w:space="0" w:color="auto"/>
            </w:tcBorders>
            <w:shd w:val="clear" w:color="FFFFFF" w:fill="FFFFFF"/>
            <w:noWrap/>
            <w:vAlign w:val="bottom"/>
            <w:hideMark/>
          </w:tcPr>
          <w:p w:rsidR="00625719" w:rsidRPr="00BE2667" w:rsidRDefault="00625719" w:rsidP="00F161D7">
            <w:pPr>
              <w:ind w:firstLineChars="200" w:firstLine="240"/>
              <w:rPr>
                <w:color w:val="333333"/>
                <w:sz w:val="12"/>
                <w:szCs w:val="20"/>
                <w:lang w:val="es-GT" w:eastAsia="es-GT"/>
              </w:rPr>
            </w:pPr>
            <w:r w:rsidRPr="00BE2667">
              <w:rPr>
                <w:color w:val="333333"/>
                <w:sz w:val="12"/>
                <w:szCs w:val="20"/>
                <w:lang w:val="es-GT" w:eastAsia="es-GT"/>
              </w:rPr>
              <w:t>ACTIVIDADES COMUNES A LOS PROGRAMAS 11, 12, 13 Y 14, SERVICIOS DE EDUCACION Y SALUD</w:t>
            </w:r>
          </w:p>
        </w:tc>
        <w:tc>
          <w:tcPr>
            <w:tcW w:w="1160"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306.2</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295.1</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11.0</w:t>
            </w:r>
          </w:p>
        </w:tc>
        <w:tc>
          <w:tcPr>
            <w:tcW w:w="851" w:type="dxa"/>
            <w:tcBorders>
              <w:top w:val="nil"/>
              <w:left w:val="nil"/>
              <w:bottom w:val="nil"/>
              <w:right w:val="single" w:sz="8"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96.4%</w:t>
            </w:r>
          </w:p>
        </w:tc>
      </w:tr>
      <w:tr w:rsidR="00625719" w:rsidRPr="00BE2667" w:rsidTr="00B45D20">
        <w:trPr>
          <w:trHeight w:val="290"/>
        </w:trPr>
        <w:tc>
          <w:tcPr>
            <w:tcW w:w="5077" w:type="dxa"/>
            <w:tcBorders>
              <w:top w:val="nil"/>
              <w:left w:val="single" w:sz="8" w:space="0" w:color="auto"/>
              <w:bottom w:val="nil"/>
              <w:right w:val="single" w:sz="4" w:space="0" w:color="auto"/>
            </w:tcBorders>
            <w:shd w:val="clear" w:color="FFFFFF" w:fill="FFFFFF"/>
            <w:noWrap/>
            <w:vAlign w:val="bottom"/>
            <w:hideMark/>
          </w:tcPr>
          <w:p w:rsidR="00625719" w:rsidRPr="00BE2667" w:rsidRDefault="00625719" w:rsidP="00F161D7">
            <w:pPr>
              <w:ind w:firstLineChars="200" w:firstLine="240"/>
              <w:rPr>
                <w:color w:val="333333"/>
                <w:sz w:val="12"/>
                <w:szCs w:val="20"/>
                <w:lang w:val="es-GT" w:eastAsia="es-GT"/>
              </w:rPr>
            </w:pPr>
            <w:r w:rsidRPr="00BE2667">
              <w:rPr>
                <w:color w:val="333333"/>
                <w:sz w:val="12"/>
                <w:szCs w:val="20"/>
                <w:lang w:val="es-GT" w:eastAsia="es-GT"/>
              </w:rPr>
              <w:t>PARTIDAS NO ASIGNABLES A PROGRAMAS</w:t>
            </w:r>
          </w:p>
        </w:tc>
        <w:tc>
          <w:tcPr>
            <w:tcW w:w="1160"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161.2</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161.2</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0.0</w:t>
            </w:r>
          </w:p>
        </w:tc>
        <w:tc>
          <w:tcPr>
            <w:tcW w:w="851" w:type="dxa"/>
            <w:tcBorders>
              <w:top w:val="nil"/>
              <w:left w:val="nil"/>
              <w:bottom w:val="nil"/>
              <w:right w:val="single" w:sz="8"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100.0%</w:t>
            </w:r>
          </w:p>
        </w:tc>
      </w:tr>
      <w:tr w:rsidR="00625719" w:rsidRPr="00BE2667" w:rsidTr="00B45D20">
        <w:trPr>
          <w:trHeight w:val="290"/>
        </w:trPr>
        <w:tc>
          <w:tcPr>
            <w:tcW w:w="5077" w:type="dxa"/>
            <w:tcBorders>
              <w:top w:val="nil"/>
              <w:left w:val="single" w:sz="8" w:space="0" w:color="auto"/>
              <w:bottom w:val="nil"/>
              <w:right w:val="single" w:sz="4" w:space="0" w:color="auto"/>
            </w:tcBorders>
            <w:shd w:val="clear" w:color="FFFFFF" w:fill="FFFFFF"/>
            <w:noWrap/>
            <w:vAlign w:val="bottom"/>
            <w:hideMark/>
          </w:tcPr>
          <w:p w:rsidR="00625719" w:rsidRPr="00BE2667" w:rsidRDefault="00625719" w:rsidP="00F161D7">
            <w:pPr>
              <w:ind w:firstLineChars="200" w:firstLine="240"/>
              <w:rPr>
                <w:color w:val="333333"/>
                <w:sz w:val="12"/>
                <w:szCs w:val="20"/>
                <w:lang w:val="es-GT" w:eastAsia="es-GT"/>
              </w:rPr>
            </w:pPr>
            <w:r w:rsidRPr="00BE2667">
              <w:rPr>
                <w:color w:val="333333"/>
                <w:sz w:val="12"/>
                <w:szCs w:val="20"/>
                <w:lang w:val="es-GT" w:eastAsia="es-GT"/>
              </w:rPr>
              <w:t>PROYECCIÓN DIPLOMÁTICA Y APOYO EN MISIONES DE PAZ</w:t>
            </w:r>
          </w:p>
        </w:tc>
        <w:tc>
          <w:tcPr>
            <w:tcW w:w="1160"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82.8</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76.2</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6.6</w:t>
            </w:r>
          </w:p>
        </w:tc>
        <w:tc>
          <w:tcPr>
            <w:tcW w:w="851" w:type="dxa"/>
            <w:tcBorders>
              <w:top w:val="nil"/>
              <w:left w:val="nil"/>
              <w:bottom w:val="nil"/>
              <w:right w:val="single" w:sz="8"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92.0%</w:t>
            </w:r>
          </w:p>
        </w:tc>
      </w:tr>
      <w:tr w:rsidR="00625719" w:rsidRPr="00BE2667" w:rsidTr="00B45D20">
        <w:trPr>
          <w:trHeight w:val="290"/>
        </w:trPr>
        <w:tc>
          <w:tcPr>
            <w:tcW w:w="5077" w:type="dxa"/>
            <w:tcBorders>
              <w:top w:val="nil"/>
              <w:left w:val="single" w:sz="8" w:space="0" w:color="auto"/>
              <w:bottom w:val="nil"/>
              <w:right w:val="single" w:sz="4" w:space="0" w:color="auto"/>
            </w:tcBorders>
            <w:shd w:val="clear" w:color="FFFFFF" w:fill="FFFFFF"/>
            <w:noWrap/>
            <w:vAlign w:val="bottom"/>
            <w:hideMark/>
          </w:tcPr>
          <w:p w:rsidR="00625719" w:rsidRPr="00BE2667" w:rsidRDefault="00625719" w:rsidP="00F161D7">
            <w:pPr>
              <w:ind w:firstLineChars="200" w:firstLine="240"/>
              <w:rPr>
                <w:color w:val="333333"/>
                <w:sz w:val="12"/>
                <w:szCs w:val="20"/>
                <w:lang w:val="es-GT" w:eastAsia="es-GT"/>
              </w:rPr>
            </w:pPr>
            <w:r w:rsidRPr="00BE2667">
              <w:rPr>
                <w:color w:val="333333"/>
                <w:sz w:val="12"/>
                <w:szCs w:val="20"/>
                <w:lang w:val="es-GT" w:eastAsia="es-GT"/>
              </w:rPr>
              <w:t>PREVENCIÓN DE HECHOS DELICTIVOS CONTRA EL PATRIMONIO</w:t>
            </w:r>
          </w:p>
        </w:tc>
        <w:tc>
          <w:tcPr>
            <w:tcW w:w="1160"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78.1</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76.0</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2.1</w:t>
            </w:r>
          </w:p>
        </w:tc>
        <w:tc>
          <w:tcPr>
            <w:tcW w:w="851" w:type="dxa"/>
            <w:tcBorders>
              <w:top w:val="nil"/>
              <w:left w:val="nil"/>
              <w:bottom w:val="nil"/>
              <w:right w:val="single" w:sz="8"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97.3%</w:t>
            </w:r>
          </w:p>
        </w:tc>
      </w:tr>
      <w:tr w:rsidR="00625719" w:rsidRPr="00BE2667" w:rsidTr="00B45D20">
        <w:trPr>
          <w:trHeight w:val="290"/>
        </w:trPr>
        <w:tc>
          <w:tcPr>
            <w:tcW w:w="5077" w:type="dxa"/>
            <w:tcBorders>
              <w:top w:val="nil"/>
              <w:left w:val="single" w:sz="8" w:space="0" w:color="auto"/>
              <w:bottom w:val="nil"/>
              <w:right w:val="single" w:sz="4" w:space="0" w:color="auto"/>
            </w:tcBorders>
            <w:shd w:val="clear" w:color="FFFFFF" w:fill="FFFFFF"/>
            <w:noWrap/>
            <w:vAlign w:val="bottom"/>
            <w:hideMark/>
          </w:tcPr>
          <w:p w:rsidR="00625719" w:rsidRPr="00BE2667" w:rsidRDefault="00625719" w:rsidP="00F161D7">
            <w:pPr>
              <w:ind w:firstLineChars="200" w:firstLine="240"/>
              <w:rPr>
                <w:color w:val="333333"/>
                <w:sz w:val="12"/>
                <w:szCs w:val="20"/>
                <w:lang w:val="es-GT" w:eastAsia="es-GT"/>
              </w:rPr>
            </w:pPr>
            <w:r w:rsidRPr="00BE2667">
              <w:rPr>
                <w:color w:val="333333"/>
                <w:sz w:val="12"/>
                <w:szCs w:val="20"/>
                <w:lang w:val="es-GT" w:eastAsia="es-GT"/>
              </w:rPr>
              <w:t>REGISTRO Y CONTROL DE ARMAS Y MUNICIONES</w:t>
            </w:r>
          </w:p>
        </w:tc>
        <w:tc>
          <w:tcPr>
            <w:tcW w:w="1160"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33.7</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32.1</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1.6</w:t>
            </w:r>
          </w:p>
        </w:tc>
        <w:tc>
          <w:tcPr>
            <w:tcW w:w="851" w:type="dxa"/>
            <w:tcBorders>
              <w:top w:val="nil"/>
              <w:left w:val="nil"/>
              <w:bottom w:val="nil"/>
              <w:right w:val="single" w:sz="8"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95.1%</w:t>
            </w:r>
          </w:p>
        </w:tc>
      </w:tr>
      <w:tr w:rsidR="00625719" w:rsidRPr="00BE2667" w:rsidTr="00B45D20">
        <w:trPr>
          <w:trHeight w:val="290"/>
        </w:trPr>
        <w:tc>
          <w:tcPr>
            <w:tcW w:w="5077" w:type="dxa"/>
            <w:tcBorders>
              <w:top w:val="nil"/>
              <w:left w:val="single" w:sz="8" w:space="0" w:color="auto"/>
              <w:bottom w:val="nil"/>
              <w:right w:val="single" w:sz="4" w:space="0" w:color="auto"/>
            </w:tcBorders>
            <w:shd w:val="clear" w:color="FFFFFF" w:fill="FFFFFF"/>
            <w:noWrap/>
            <w:vAlign w:val="bottom"/>
            <w:hideMark/>
          </w:tcPr>
          <w:p w:rsidR="00625719" w:rsidRPr="00BE2667" w:rsidRDefault="00625719" w:rsidP="00F161D7">
            <w:pPr>
              <w:ind w:firstLineChars="200" w:firstLine="240"/>
              <w:rPr>
                <w:color w:val="333333"/>
                <w:sz w:val="12"/>
                <w:szCs w:val="20"/>
                <w:lang w:val="es-GT" w:eastAsia="es-GT"/>
              </w:rPr>
            </w:pPr>
            <w:r w:rsidRPr="00BE2667">
              <w:rPr>
                <w:color w:val="333333"/>
                <w:sz w:val="12"/>
                <w:szCs w:val="20"/>
                <w:lang w:val="es-GT" w:eastAsia="es-GT"/>
              </w:rPr>
              <w:t>APRESTO PARA LA MOVILIZACIÓN DE DEFENSA, PREVENCIÓN Y MITIGACIÓN DE DESASTRES</w:t>
            </w:r>
          </w:p>
        </w:tc>
        <w:tc>
          <w:tcPr>
            <w:tcW w:w="1160"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30.2</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22.6</w:t>
            </w:r>
          </w:p>
        </w:tc>
        <w:tc>
          <w:tcPr>
            <w:tcW w:w="1134" w:type="dxa"/>
            <w:tcBorders>
              <w:top w:val="nil"/>
              <w:left w:val="nil"/>
              <w:bottom w:val="nil"/>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7.6</w:t>
            </w:r>
          </w:p>
        </w:tc>
        <w:tc>
          <w:tcPr>
            <w:tcW w:w="851" w:type="dxa"/>
            <w:tcBorders>
              <w:top w:val="nil"/>
              <w:left w:val="nil"/>
              <w:bottom w:val="nil"/>
              <w:right w:val="single" w:sz="8"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74.8%</w:t>
            </w:r>
          </w:p>
        </w:tc>
      </w:tr>
      <w:tr w:rsidR="00625719" w:rsidRPr="00BE2667" w:rsidTr="00B45D20">
        <w:trPr>
          <w:trHeight w:val="305"/>
        </w:trPr>
        <w:tc>
          <w:tcPr>
            <w:tcW w:w="5077" w:type="dxa"/>
            <w:tcBorders>
              <w:top w:val="nil"/>
              <w:left w:val="single" w:sz="8" w:space="0" w:color="auto"/>
              <w:bottom w:val="single" w:sz="8" w:space="0" w:color="auto"/>
              <w:right w:val="single" w:sz="4" w:space="0" w:color="auto"/>
            </w:tcBorders>
            <w:shd w:val="clear" w:color="FFFFFF" w:fill="FFFFFF"/>
            <w:noWrap/>
            <w:vAlign w:val="bottom"/>
            <w:hideMark/>
          </w:tcPr>
          <w:p w:rsidR="00625719" w:rsidRPr="00BE2667" w:rsidRDefault="00625719" w:rsidP="00F161D7">
            <w:pPr>
              <w:ind w:firstLineChars="200" w:firstLine="240"/>
              <w:rPr>
                <w:color w:val="333333"/>
                <w:sz w:val="12"/>
                <w:szCs w:val="20"/>
                <w:lang w:val="es-GT" w:eastAsia="es-GT"/>
              </w:rPr>
            </w:pPr>
            <w:r w:rsidRPr="00BE2667">
              <w:rPr>
                <w:color w:val="333333"/>
                <w:sz w:val="12"/>
                <w:szCs w:val="20"/>
                <w:lang w:val="es-GT" w:eastAsia="es-GT"/>
              </w:rPr>
              <w:t>REGULACIÓN DE ESPACIOS ACUÁTICOS</w:t>
            </w:r>
          </w:p>
        </w:tc>
        <w:tc>
          <w:tcPr>
            <w:tcW w:w="1160"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11.2</w:t>
            </w:r>
          </w:p>
        </w:tc>
        <w:tc>
          <w:tcPr>
            <w:tcW w:w="1134" w:type="dxa"/>
            <w:tcBorders>
              <w:top w:val="nil"/>
              <w:left w:val="nil"/>
              <w:bottom w:val="single" w:sz="8" w:space="0" w:color="auto"/>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7.7</w:t>
            </w:r>
          </w:p>
        </w:tc>
        <w:tc>
          <w:tcPr>
            <w:tcW w:w="1134"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3.5</w:t>
            </w:r>
          </w:p>
        </w:tc>
        <w:tc>
          <w:tcPr>
            <w:tcW w:w="851" w:type="dxa"/>
            <w:tcBorders>
              <w:top w:val="nil"/>
              <w:left w:val="single" w:sz="4" w:space="0" w:color="auto"/>
              <w:bottom w:val="single" w:sz="8" w:space="0" w:color="auto"/>
              <w:right w:val="single" w:sz="8" w:space="0" w:color="auto"/>
            </w:tcBorders>
            <w:shd w:val="clear" w:color="FFFFFF" w:fill="FFFFFF"/>
            <w:noWrap/>
            <w:vAlign w:val="bottom"/>
            <w:hideMark/>
          </w:tcPr>
          <w:p w:rsidR="00625719" w:rsidRPr="00BE2667" w:rsidRDefault="00625719" w:rsidP="00F161D7">
            <w:pPr>
              <w:jc w:val="right"/>
              <w:rPr>
                <w:color w:val="333333"/>
                <w:sz w:val="12"/>
                <w:szCs w:val="20"/>
                <w:lang w:val="es-GT" w:eastAsia="es-GT"/>
              </w:rPr>
            </w:pPr>
            <w:r w:rsidRPr="00BE2667">
              <w:rPr>
                <w:color w:val="333333"/>
                <w:sz w:val="12"/>
                <w:szCs w:val="20"/>
                <w:lang w:val="es-GT" w:eastAsia="es-GT"/>
              </w:rPr>
              <w:t>68.7%</w:t>
            </w:r>
          </w:p>
        </w:tc>
      </w:tr>
    </w:tbl>
    <w:p w:rsidR="00625719"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Pr="004E678D" w:rsidRDefault="00625719" w:rsidP="00625719">
      <w:pPr>
        <w:jc w:val="both"/>
        <w:rPr>
          <w:sz w:val="18"/>
        </w:rPr>
      </w:pPr>
    </w:p>
    <w:p w:rsidR="00625719" w:rsidRDefault="00625719" w:rsidP="00625719">
      <w:pPr>
        <w:jc w:val="both"/>
      </w:pPr>
    </w:p>
    <w:p w:rsidR="001A28AD" w:rsidRPr="00D108FD" w:rsidRDefault="001A28AD" w:rsidP="00625719">
      <w:pPr>
        <w:jc w:val="both"/>
      </w:pPr>
    </w:p>
    <w:p w:rsidR="00625719" w:rsidRDefault="00625719" w:rsidP="00625719">
      <w:pPr>
        <w:jc w:val="both"/>
        <w:rPr>
          <w:b/>
        </w:rPr>
      </w:pPr>
      <w:r w:rsidRPr="00D108FD">
        <w:rPr>
          <w:b/>
        </w:rPr>
        <w:t>Ministerio de Finanzas Públicas</w:t>
      </w:r>
      <w:r>
        <w:rPr>
          <w:b/>
        </w:rPr>
        <w:t>:</w:t>
      </w:r>
    </w:p>
    <w:p w:rsidR="00625719" w:rsidRPr="00D108FD" w:rsidRDefault="00625719" w:rsidP="00625719">
      <w:pPr>
        <w:jc w:val="both"/>
        <w:rPr>
          <w:b/>
        </w:rPr>
      </w:pPr>
    </w:p>
    <w:p w:rsidR="00625719" w:rsidRDefault="00625719" w:rsidP="00625719">
      <w:pPr>
        <w:jc w:val="both"/>
      </w:pPr>
      <w:r w:rsidRPr="00D108FD">
        <w:t xml:space="preserve">Este </w:t>
      </w:r>
      <w:r>
        <w:t>M</w:t>
      </w:r>
      <w:r w:rsidRPr="00D108FD">
        <w:t>inisterio tuvo un presupuesto</w:t>
      </w:r>
      <w:r>
        <w:t xml:space="preserve"> aprobado</w:t>
      </w:r>
      <w:r w:rsidRPr="00D108FD">
        <w:t xml:space="preserve"> de </w:t>
      </w:r>
      <w:r>
        <w:t>Q</w:t>
      </w:r>
      <w:r w:rsidR="001A28AD">
        <w:t>.</w:t>
      </w:r>
      <w:r w:rsidRPr="00D108FD">
        <w:t>3</w:t>
      </w:r>
      <w:r>
        <w:t>81.2</w:t>
      </w:r>
      <w:r w:rsidRPr="00D108FD">
        <w:t xml:space="preserve"> millones</w:t>
      </w:r>
      <w:r>
        <w:t>, una ejecución de Q</w:t>
      </w:r>
      <w:r w:rsidR="001A28AD">
        <w:t>.</w:t>
      </w:r>
      <w:r>
        <w:t>305.2 millones, equivalentes al 80.1%</w:t>
      </w:r>
      <w:r w:rsidRPr="00D108FD">
        <w:t>.</w:t>
      </w:r>
      <w:r>
        <w:t xml:space="preserve"> </w:t>
      </w:r>
      <w:r w:rsidRPr="00D108FD">
        <w:t xml:space="preserve">Su mayor ejecución presupuestaria </w:t>
      </w:r>
      <w:r>
        <w:t>fue a través del pro</w:t>
      </w:r>
      <w:r w:rsidRPr="00D108FD">
        <w:t>grama de las Actividades Centrales, el cual tuvo un presupuesto</w:t>
      </w:r>
      <w:r>
        <w:t xml:space="preserve"> aprobado </w:t>
      </w:r>
      <w:r w:rsidRPr="00D108FD">
        <w:t xml:space="preserve">de </w:t>
      </w:r>
      <w:r>
        <w:t>Q</w:t>
      </w:r>
      <w:r w:rsidR="001A28AD">
        <w:t>.</w:t>
      </w:r>
      <w:r w:rsidRPr="00D108FD">
        <w:t>1</w:t>
      </w:r>
      <w:r>
        <w:t>83.3</w:t>
      </w:r>
      <w:r w:rsidRPr="00D108FD">
        <w:t xml:space="preserve"> millones y una ejecución presupuestaria de </w:t>
      </w:r>
      <w:r>
        <w:t>Q</w:t>
      </w:r>
      <w:r w:rsidR="001A28AD">
        <w:t>.</w:t>
      </w:r>
      <w:r w:rsidRPr="00D108FD">
        <w:t>1</w:t>
      </w:r>
      <w:r>
        <w:t>65.9</w:t>
      </w:r>
      <w:r w:rsidRPr="00D108FD">
        <w:t xml:space="preserve"> millones equivalente al 9</w:t>
      </w:r>
      <w:r>
        <w:t>0</w:t>
      </w:r>
      <w:r w:rsidRPr="00D108FD">
        <w:t>.</w:t>
      </w:r>
      <w:r>
        <w:t>5</w:t>
      </w:r>
      <w:r w:rsidRPr="00D108FD">
        <w:t>%.</w:t>
      </w:r>
    </w:p>
    <w:p w:rsidR="00625719" w:rsidRPr="00D108FD" w:rsidRDefault="00625719" w:rsidP="00625719">
      <w:pPr>
        <w:jc w:val="both"/>
      </w:pPr>
    </w:p>
    <w:p w:rsidR="00625719" w:rsidRDefault="00625719" w:rsidP="00625719">
      <w:pPr>
        <w:jc w:val="both"/>
      </w:pPr>
      <w:r>
        <w:t>Otro</w:t>
      </w:r>
      <w:r w:rsidRPr="00D108FD">
        <w:t xml:space="preserve"> programa </w:t>
      </w:r>
      <w:r>
        <w:t>importante</w:t>
      </w:r>
      <w:r w:rsidRPr="00D108FD">
        <w:t xml:space="preserve"> es “Administración Financiera” </w:t>
      </w:r>
      <w:r>
        <w:t>con un presupuesto</w:t>
      </w:r>
      <w:r w:rsidRPr="00D108FD">
        <w:t xml:space="preserve"> de </w:t>
      </w:r>
      <w:r>
        <w:t>Q</w:t>
      </w:r>
      <w:r w:rsidR="001A28AD">
        <w:t>.</w:t>
      </w:r>
      <w:r w:rsidRPr="00D108FD">
        <w:t>1</w:t>
      </w:r>
      <w:r>
        <w:t>31.1</w:t>
      </w:r>
      <w:r w:rsidRPr="00D108FD">
        <w:t xml:space="preserve"> millones y una ejecución presupuestaria de </w:t>
      </w:r>
      <w:r>
        <w:t>Q</w:t>
      </w:r>
      <w:r w:rsidR="001A28AD">
        <w:t>.</w:t>
      </w:r>
      <w:r>
        <w:t>105.4</w:t>
      </w:r>
      <w:r w:rsidRPr="00D108FD">
        <w:t xml:space="preserve"> millones equivalente al 8</w:t>
      </w:r>
      <w:r>
        <w:t>0.3</w:t>
      </w:r>
      <w:r w:rsidRPr="00D108FD">
        <w:t>%.</w:t>
      </w:r>
    </w:p>
    <w:p w:rsidR="00625719" w:rsidRPr="00D108FD" w:rsidRDefault="00625719" w:rsidP="00625719">
      <w:pPr>
        <w:jc w:val="both"/>
      </w:pPr>
    </w:p>
    <w:p w:rsidR="00625719" w:rsidRDefault="00625719" w:rsidP="00625719">
      <w:pPr>
        <w:jc w:val="both"/>
      </w:pPr>
      <w:r w:rsidRPr="00D108FD">
        <w:t xml:space="preserve">Los dos programas restantes tuvieron una ejecución presupuestaria por debajo de los </w:t>
      </w:r>
      <w:r>
        <w:t>Q</w:t>
      </w:r>
      <w:r w:rsidR="001A28AD">
        <w:t>.</w:t>
      </w:r>
      <w:r>
        <w:t>33</w:t>
      </w:r>
      <w:r w:rsidRPr="00D108FD">
        <w:t>.9 millones, así como se detalla en el cuadro a continuación.</w:t>
      </w:r>
    </w:p>
    <w:p w:rsidR="00625719" w:rsidRPr="00D108FD" w:rsidRDefault="00625719" w:rsidP="00625719">
      <w:pPr>
        <w:jc w:val="both"/>
      </w:pP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Programa!F48C2:F53C6" \a \f 4 \h  \* MERGEFORMAT </w:instrText>
      </w:r>
      <w:r>
        <w:rPr>
          <w:noProof/>
          <w:lang w:val="es-GT" w:eastAsia="es-GT"/>
        </w:rPr>
        <w:fldChar w:fldCharType="separate"/>
      </w:r>
    </w:p>
    <w:tbl>
      <w:tblPr>
        <w:tblW w:w="9356" w:type="dxa"/>
        <w:tblInd w:w="70" w:type="dxa"/>
        <w:tblCellMar>
          <w:left w:w="70" w:type="dxa"/>
          <w:right w:w="70" w:type="dxa"/>
        </w:tblCellMar>
        <w:tblLook w:val="04A0" w:firstRow="1" w:lastRow="0" w:firstColumn="1" w:lastColumn="0" w:noHBand="0" w:noVBand="1"/>
      </w:tblPr>
      <w:tblGrid>
        <w:gridCol w:w="5245"/>
        <w:gridCol w:w="1134"/>
        <w:gridCol w:w="1134"/>
        <w:gridCol w:w="992"/>
        <w:gridCol w:w="851"/>
      </w:tblGrid>
      <w:tr w:rsidR="00625719" w:rsidRPr="00437630" w:rsidTr="00B45D20">
        <w:trPr>
          <w:trHeight w:val="284"/>
        </w:trPr>
        <w:tc>
          <w:tcPr>
            <w:tcW w:w="5245"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437630" w:rsidRDefault="00625719" w:rsidP="00F161D7">
            <w:pPr>
              <w:jc w:val="center"/>
              <w:rPr>
                <w:b/>
                <w:bCs/>
                <w:color w:val="000000"/>
                <w:sz w:val="16"/>
                <w:szCs w:val="20"/>
                <w:lang w:val="es-GT" w:eastAsia="es-GT"/>
              </w:rPr>
            </w:pPr>
            <w:r w:rsidRPr="00437630">
              <w:rPr>
                <w:b/>
                <w:bCs/>
                <w:color w:val="000000"/>
                <w:sz w:val="16"/>
                <w:szCs w:val="20"/>
                <w:lang w:val="es-GT" w:eastAsia="es-GT"/>
              </w:rPr>
              <w:t>DESCRIPCION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437630" w:rsidRDefault="00625719" w:rsidP="00F161D7">
            <w:pPr>
              <w:jc w:val="center"/>
              <w:rPr>
                <w:b/>
                <w:bCs/>
                <w:color w:val="000000"/>
                <w:sz w:val="16"/>
                <w:szCs w:val="20"/>
                <w:lang w:val="es-GT" w:eastAsia="es-GT"/>
              </w:rPr>
            </w:pPr>
            <w:r w:rsidRPr="00437630">
              <w:rPr>
                <w:b/>
                <w:bCs/>
                <w:color w:val="000000"/>
                <w:sz w:val="16"/>
                <w:szCs w:val="20"/>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437630" w:rsidRDefault="00625719" w:rsidP="00F161D7">
            <w:pPr>
              <w:jc w:val="center"/>
              <w:rPr>
                <w:b/>
                <w:bCs/>
                <w:color w:val="000000"/>
                <w:sz w:val="16"/>
                <w:szCs w:val="20"/>
                <w:lang w:val="es-GT" w:eastAsia="es-GT"/>
              </w:rPr>
            </w:pPr>
            <w:r w:rsidRPr="00437630">
              <w:rPr>
                <w:b/>
                <w:bCs/>
                <w:color w:val="000000"/>
                <w:sz w:val="16"/>
                <w:szCs w:val="20"/>
                <w:lang w:val="es-GT" w:eastAsia="es-GT"/>
              </w:rPr>
              <w:t>EJECUCIÓN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625719" w:rsidRPr="00437630" w:rsidRDefault="00625719" w:rsidP="00F161D7">
            <w:pPr>
              <w:jc w:val="center"/>
              <w:rPr>
                <w:b/>
                <w:bCs/>
                <w:color w:val="000000"/>
                <w:sz w:val="16"/>
                <w:szCs w:val="20"/>
                <w:lang w:val="es-GT" w:eastAsia="es-GT"/>
              </w:rPr>
            </w:pPr>
            <w:r w:rsidRPr="00437630">
              <w:rPr>
                <w:b/>
                <w:bCs/>
                <w:color w:val="000000"/>
                <w:sz w:val="16"/>
                <w:szCs w:val="20"/>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hideMark/>
          </w:tcPr>
          <w:p w:rsidR="00625719" w:rsidRPr="00437630" w:rsidRDefault="00625719" w:rsidP="00F161D7">
            <w:pPr>
              <w:jc w:val="center"/>
              <w:rPr>
                <w:b/>
                <w:bCs/>
                <w:color w:val="000000"/>
                <w:sz w:val="16"/>
                <w:szCs w:val="20"/>
                <w:lang w:val="es-GT" w:eastAsia="es-GT"/>
              </w:rPr>
            </w:pPr>
            <w:r w:rsidRPr="00437630">
              <w:rPr>
                <w:b/>
                <w:bCs/>
                <w:color w:val="000000"/>
                <w:sz w:val="16"/>
                <w:szCs w:val="20"/>
                <w:lang w:val="es-GT" w:eastAsia="es-GT"/>
              </w:rPr>
              <w:t>% Ejec</w:t>
            </w:r>
          </w:p>
        </w:tc>
      </w:tr>
      <w:tr w:rsidR="00625719" w:rsidRPr="00437630" w:rsidTr="00B45D20">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437630" w:rsidRDefault="00625719" w:rsidP="00F161D7">
            <w:pPr>
              <w:rPr>
                <w:b/>
                <w:bCs/>
                <w:color w:val="333333"/>
                <w:sz w:val="16"/>
                <w:szCs w:val="20"/>
                <w:lang w:val="es-GT" w:eastAsia="es-GT"/>
              </w:rPr>
            </w:pPr>
            <w:r w:rsidRPr="00437630">
              <w:rPr>
                <w:b/>
                <w:bCs/>
                <w:color w:val="333333"/>
                <w:sz w:val="16"/>
                <w:szCs w:val="20"/>
                <w:lang w:val="es-GT" w:eastAsia="es-GT"/>
              </w:rPr>
              <w:t>MINISTERIO DE FINANZAS PÚBLICAS</w:t>
            </w:r>
          </w:p>
        </w:tc>
        <w:tc>
          <w:tcPr>
            <w:tcW w:w="1134"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b/>
                <w:bCs/>
                <w:color w:val="333333"/>
                <w:sz w:val="16"/>
                <w:szCs w:val="20"/>
                <w:lang w:val="es-GT" w:eastAsia="es-GT"/>
              </w:rPr>
            </w:pPr>
            <w:r w:rsidRPr="00437630">
              <w:rPr>
                <w:b/>
                <w:bCs/>
                <w:color w:val="333333"/>
                <w:sz w:val="16"/>
                <w:szCs w:val="20"/>
                <w:lang w:val="es-GT" w:eastAsia="es-GT"/>
              </w:rPr>
              <w:t>381.2</w:t>
            </w:r>
          </w:p>
        </w:tc>
        <w:tc>
          <w:tcPr>
            <w:tcW w:w="1134"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b/>
                <w:bCs/>
                <w:color w:val="333333"/>
                <w:sz w:val="16"/>
                <w:szCs w:val="20"/>
                <w:lang w:val="es-GT" w:eastAsia="es-GT"/>
              </w:rPr>
            </w:pPr>
            <w:r w:rsidRPr="00437630">
              <w:rPr>
                <w:b/>
                <w:bCs/>
                <w:color w:val="333333"/>
                <w:sz w:val="16"/>
                <w:szCs w:val="20"/>
                <w:lang w:val="es-GT" w:eastAsia="es-GT"/>
              </w:rPr>
              <w:t>305.2</w:t>
            </w:r>
          </w:p>
        </w:tc>
        <w:tc>
          <w:tcPr>
            <w:tcW w:w="992"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b/>
                <w:bCs/>
                <w:color w:val="333333"/>
                <w:sz w:val="16"/>
                <w:szCs w:val="20"/>
                <w:lang w:val="es-GT" w:eastAsia="es-GT"/>
              </w:rPr>
            </w:pPr>
            <w:r w:rsidRPr="00437630">
              <w:rPr>
                <w:b/>
                <w:bCs/>
                <w:color w:val="333333"/>
                <w:sz w:val="16"/>
                <w:szCs w:val="20"/>
                <w:lang w:val="es-GT" w:eastAsia="es-GT"/>
              </w:rPr>
              <w:t>76.0</w:t>
            </w:r>
          </w:p>
        </w:tc>
        <w:tc>
          <w:tcPr>
            <w:tcW w:w="851" w:type="dxa"/>
            <w:tcBorders>
              <w:top w:val="nil"/>
              <w:left w:val="nil"/>
              <w:bottom w:val="nil"/>
              <w:right w:val="single" w:sz="8" w:space="0" w:color="auto"/>
            </w:tcBorders>
            <w:shd w:val="clear" w:color="FFFFFF" w:fill="FFFFFF"/>
            <w:noWrap/>
            <w:vAlign w:val="bottom"/>
            <w:hideMark/>
          </w:tcPr>
          <w:p w:rsidR="00625719" w:rsidRPr="00437630" w:rsidRDefault="00625719" w:rsidP="00F161D7">
            <w:pPr>
              <w:jc w:val="right"/>
              <w:rPr>
                <w:b/>
                <w:bCs/>
                <w:color w:val="333333"/>
                <w:sz w:val="16"/>
                <w:szCs w:val="20"/>
                <w:lang w:val="es-GT" w:eastAsia="es-GT"/>
              </w:rPr>
            </w:pPr>
            <w:r w:rsidRPr="00437630">
              <w:rPr>
                <w:b/>
                <w:bCs/>
                <w:color w:val="333333"/>
                <w:sz w:val="16"/>
                <w:szCs w:val="20"/>
                <w:lang w:val="es-GT" w:eastAsia="es-GT"/>
              </w:rPr>
              <w:t>80.1%</w:t>
            </w:r>
          </w:p>
        </w:tc>
      </w:tr>
      <w:tr w:rsidR="00625719" w:rsidRPr="00437630" w:rsidTr="00B45D20">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437630" w:rsidRDefault="00625719" w:rsidP="00F161D7">
            <w:pPr>
              <w:ind w:firstLineChars="200" w:firstLine="320"/>
              <w:rPr>
                <w:color w:val="333333"/>
                <w:sz w:val="16"/>
                <w:szCs w:val="20"/>
                <w:lang w:val="es-GT" w:eastAsia="es-GT"/>
              </w:rPr>
            </w:pPr>
            <w:r w:rsidRPr="00437630">
              <w:rPr>
                <w:color w:val="333333"/>
                <w:sz w:val="16"/>
                <w:szCs w:val="20"/>
                <w:lang w:val="es-GT" w:eastAsia="es-GT"/>
              </w:rPr>
              <w:t>ACTIVIDADES CENTRALES</w:t>
            </w:r>
          </w:p>
        </w:tc>
        <w:tc>
          <w:tcPr>
            <w:tcW w:w="1134"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183.3</w:t>
            </w:r>
          </w:p>
        </w:tc>
        <w:tc>
          <w:tcPr>
            <w:tcW w:w="1134"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165.9</w:t>
            </w:r>
          </w:p>
        </w:tc>
        <w:tc>
          <w:tcPr>
            <w:tcW w:w="992"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17.4</w:t>
            </w:r>
          </w:p>
        </w:tc>
        <w:tc>
          <w:tcPr>
            <w:tcW w:w="851" w:type="dxa"/>
            <w:tcBorders>
              <w:top w:val="nil"/>
              <w:left w:val="nil"/>
              <w:bottom w:val="nil"/>
              <w:right w:val="single" w:sz="8"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90.5%</w:t>
            </w:r>
          </w:p>
        </w:tc>
      </w:tr>
      <w:tr w:rsidR="00625719" w:rsidRPr="00437630" w:rsidTr="00B45D20">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437630" w:rsidRDefault="00625719" w:rsidP="00F161D7">
            <w:pPr>
              <w:ind w:firstLineChars="200" w:firstLine="320"/>
              <w:rPr>
                <w:color w:val="333333"/>
                <w:sz w:val="16"/>
                <w:szCs w:val="20"/>
                <w:lang w:val="es-GT" w:eastAsia="es-GT"/>
              </w:rPr>
            </w:pPr>
            <w:r w:rsidRPr="00437630">
              <w:rPr>
                <w:color w:val="333333"/>
                <w:sz w:val="16"/>
                <w:szCs w:val="20"/>
                <w:lang w:val="es-GT" w:eastAsia="es-GT"/>
              </w:rPr>
              <w:t>ADMINISTRACIÓN FINANCIERA</w:t>
            </w:r>
          </w:p>
        </w:tc>
        <w:tc>
          <w:tcPr>
            <w:tcW w:w="1134"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131.1</w:t>
            </w:r>
          </w:p>
        </w:tc>
        <w:tc>
          <w:tcPr>
            <w:tcW w:w="1134"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105.4</w:t>
            </w:r>
          </w:p>
        </w:tc>
        <w:tc>
          <w:tcPr>
            <w:tcW w:w="992"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25.8</w:t>
            </w:r>
          </w:p>
        </w:tc>
        <w:tc>
          <w:tcPr>
            <w:tcW w:w="851" w:type="dxa"/>
            <w:tcBorders>
              <w:top w:val="nil"/>
              <w:left w:val="nil"/>
              <w:bottom w:val="nil"/>
              <w:right w:val="single" w:sz="8"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80.3%</w:t>
            </w:r>
          </w:p>
        </w:tc>
      </w:tr>
      <w:tr w:rsidR="00625719" w:rsidRPr="00437630" w:rsidTr="00B45D20">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437630" w:rsidRDefault="00625719" w:rsidP="00F161D7">
            <w:pPr>
              <w:ind w:firstLineChars="200" w:firstLine="320"/>
              <w:rPr>
                <w:color w:val="333333"/>
                <w:sz w:val="16"/>
                <w:szCs w:val="20"/>
                <w:lang w:val="es-GT" w:eastAsia="es-GT"/>
              </w:rPr>
            </w:pPr>
            <w:r w:rsidRPr="00437630">
              <w:rPr>
                <w:color w:val="333333"/>
                <w:sz w:val="16"/>
                <w:szCs w:val="20"/>
                <w:lang w:val="es-GT" w:eastAsia="es-GT"/>
              </w:rPr>
              <w:t>ADMINISTRACIÓN DEL PATRIMONIO</w:t>
            </w:r>
          </w:p>
        </w:tc>
        <w:tc>
          <w:tcPr>
            <w:tcW w:w="1134"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22.8</w:t>
            </w:r>
          </w:p>
        </w:tc>
        <w:tc>
          <w:tcPr>
            <w:tcW w:w="1134"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21.9</w:t>
            </w:r>
          </w:p>
        </w:tc>
        <w:tc>
          <w:tcPr>
            <w:tcW w:w="992" w:type="dxa"/>
            <w:tcBorders>
              <w:top w:val="nil"/>
              <w:left w:val="nil"/>
              <w:bottom w:val="nil"/>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0.9</w:t>
            </w:r>
          </w:p>
        </w:tc>
        <w:tc>
          <w:tcPr>
            <w:tcW w:w="851" w:type="dxa"/>
            <w:tcBorders>
              <w:top w:val="nil"/>
              <w:left w:val="nil"/>
              <w:bottom w:val="nil"/>
              <w:right w:val="single" w:sz="8"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96.1%</w:t>
            </w:r>
          </w:p>
        </w:tc>
      </w:tr>
      <w:tr w:rsidR="00625719" w:rsidRPr="00437630" w:rsidTr="00B45D20">
        <w:trPr>
          <w:trHeight w:val="284"/>
        </w:trPr>
        <w:tc>
          <w:tcPr>
            <w:tcW w:w="5245" w:type="dxa"/>
            <w:tcBorders>
              <w:top w:val="nil"/>
              <w:left w:val="single" w:sz="8" w:space="0" w:color="auto"/>
              <w:bottom w:val="single" w:sz="8" w:space="0" w:color="auto"/>
              <w:right w:val="single" w:sz="4" w:space="0" w:color="auto"/>
            </w:tcBorders>
            <w:shd w:val="clear" w:color="FFFFFF" w:fill="FFFFFF"/>
            <w:noWrap/>
            <w:vAlign w:val="bottom"/>
            <w:hideMark/>
          </w:tcPr>
          <w:p w:rsidR="00625719" w:rsidRPr="00437630" w:rsidRDefault="00625719" w:rsidP="00F161D7">
            <w:pPr>
              <w:ind w:firstLineChars="200" w:firstLine="320"/>
              <w:rPr>
                <w:color w:val="333333"/>
                <w:sz w:val="16"/>
                <w:szCs w:val="20"/>
                <w:lang w:val="es-GT" w:eastAsia="es-GT"/>
              </w:rPr>
            </w:pPr>
            <w:r w:rsidRPr="00437630">
              <w:rPr>
                <w:color w:val="333333"/>
                <w:sz w:val="16"/>
                <w:szCs w:val="20"/>
                <w:lang w:val="es-GT" w:eastAsia="es-GT"/>
              </w:rPr>
              <w:t>SERVICIOS DE IMPRENTA</w:t>
            </w:r>
          </w:p>
        </w:tc>
        <w:tc>
          <w:tcPr>
            <w:tcW w:w="1134"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44.0</w:t>
            </w:r>
          </w:p>
        </w:tc>
        <w:tc>
          <w:tcPr>
            <w:tcW w:w="1134" w:type="dxa"/>
            <w:tcBorders>
              <w:top w:val="nil"/>
              <w:left w:val="nil"/>
              <w:bottom w:val="single" w:sz="8" w:space="0" w:color="auto"/>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12.0</w:t>
            </w:r>
          </w:p>
        </w:tc>
        <w:tc>
          <w:tcPr>
            <w:tcW w:w="992"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32.0</w:t>
            </w:r>
          </w:p>
        </w:tc>
        <w:tc>
          <w:tcPr>
            <w:tcW w:w="851" w:type="dxa"/>
            <w:tcBorders>
              <w:top w:val="nil"/>
              <w:left w:val="single" w:sz="4" w:space="0" w:color="auto"/>
              <w:bottom w:val="single" w:sz="8" w:space="0" w:color="auto"/>
              <w:right w:val="single" w:sz="8" w:space="0" w:color="auto"/>
            </w:tcBorders>
            <w:shd w:val="clear" w:color="FFFFFF" w:fill="FFFFFF"/>
            <w:noWrap/>
            <w:vAlign w:val="bottom"/>
            <w:hideMark/>
          </w:tcPr>
          <w:p w:rsidR="00625719" w:rsidRPr="00437630" w:rsidRDefault="00625719" w:rsidP="00F161D7">
            <w:pPr>
              <w:jc w:val="right"/>
              <w:rPr>
                <w:color w:val="333333"/>
                <w:sz w:val="16"/>
                <w:szCs w:val="20"/>
                <w:lang w:val="es-GT" w:eastAsia="es-GT"/>
              </w:rPr>
            </w:pPr>
            <w:r w:rsidRPr="00437630">
              <w:rPr>
                <w:color w:val="333333"/>
                <w:sz w:val="16"/>
                <w:szCs w:val="20"/>
                <w:lang w:val="es-GT" w:eastAsia="es-GT"/>
              </w:rPr>
              <w:t>27.3%</w:t>
            </w: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Pr="00D108FD" w:rsidRDefault="00625719" w:rsidP="00625719">
      <w:pPr>
        <w:jc w:val="both"/>
      </w:pPr>
    </w:p>
    <w:p w:rsidR="00625719" w:rsidRDefault="00625719" w:rsidP="00625719">
      <w:pPr>
        <w:jc w:val="both"/>
        <w:rPr>
          <w:b/>
        </w:rPr>
      </w:pPr>
      <w:r w:rsidRPr="00D108FD">
        <w:rPr>
          <w:b/>
        </w:rPr>
        <w:lastRenderedPageBreak/>
        <w:t>Ministerio de Educación</w:t>
      </w:r>
      <w:r>
        <w:rPr>
          <w:b/>
        </w:rPr>
        <w:t>:</w:t>
      </w:r>
    </w:p>
    <w:p w:rsidR="00625719" w:rsidRPr="00D108FD" w:rsidRDefault="00625719" w:rsidP="00625719">
      <w:pPr>
        <w:jc w:val="both"/>
        <w:rPr>
          <w:b/>
        </w:rPr>
      </w:pPr>
    </w:p>
    <w:p w:rsidR="00625719" w:rsidRDefault="00625719" w:rsidP="00625719">
      <w:pPr>
        <w:jc w:val="both"/>
      </w:pPr>
      <w:r w:rsidRPr="00D108FD">
        <w:t xml:space="preserve">Este </w:t>
      </w:r>
      <w:r>
        <w:t>M</w:t>
      </w:r>
      <w:r w:rsidRPr="00D108FD">
        <w:t>inisterio tuvo un presupuesto</w:t>
      </w:r>
      <w:r>
        <w:t xml:space="preserve"> aprobado</w:t>
      </w:r>
      <w:r w:rsidRPr="00D108FD">
        <w:t xml:space="preserve"> de </w:t>
      </w:r>
      <w:r>
        <w:t>Q</w:t>
      </w:r>
      <w:r w:rsidR="00A7609B">
        <w:t>.</w:t>
      </w:r>
      <w:r w:rsidRPr="00D108FD">
        <w:t>1</w:t>
      </w:r>
      <w:r>
        <w:t>6</w:t>
      </w:r>
      <w:r w:rsidRPr="00D108FD">
        <w:t>,</w:t>
      </w:r>
      <w:r>
        <w:t>530.6</w:t>
      </w:r>
      <w:r w:rsidRPr="00D108FD">
        <w:t xml:space="preserve"> millones, y una ejecución presupuestaria de </w:t>
      </w:r>
      <w:r>
        <w:t>Q</w:t>
      </w:r>
      <w:r w:rsidR="00A7609B">
        <w:t>.</w:t>
      </w:r>
      <w:r>
        <w:t>15</w:t>
      </w:r>
      <w:r w:rsidRPr="00D108FD">
        <w:t>,</w:t>
      </w:r>
      <w:r>
        <w:t>814.8</w:t>
      </w:r>
      <w:r w:rsidRPr="00D108FD">
        <w:t xml:space="preserve"> millones equivalente</w:t>
      </w:r>
      <w:r>
        <w:t>s</w:t>
      </w:r>
      <w:r w:rsidRPr="00D108FD">
        <w:t xml:space="preserve"> al 9</w:t>
      </w:r>
      <w:r>
        <w:t>5.</w:t>
      </w:r>
      <w:r w:rsidRPr="00D108FD">
        <w:t>7%.</w:t>
      </w:r>
      <w:r w:rsidR="000771C4">
        <w:t xml:space="preserve"> </w:t>
      </w:r>
      <w:r w:rsidRPr="00D108FD">
        <w:t>El programa con mayor ejecución presupuestaria fue “Educación Escolar de Primaria” con un presupuesto</w:t>
      </w:r>
      <w:r>
        <w:t xml:space="preserve"> aprobado</w:t>
      </w:r>
      <w:r w:rsidRPr="00D108FD">
        <w:t xml:space="preserve"> de </w:t>
      </w:r>
      <w:r>
        <w:t>Q</w:t>
      </w:r>
      <w:r w:rsidR="00A7609B">
        <w:t>.</w:t>
      </w:r>
      <w:r w:rsidRPr="00D108FD">
        <w:t>8,</w:t>
      </w:r>
      <w:r>
        <w:t>993.7</w:t>
      </w:r>
      <w:r w:rsidRPr="00D108FD">
        <w:t xml:space="preserve"> millones, una ejecución presupuestaria de </w:t>
      </w:r>
      <w:r>
        <w:t>Q</w:t>
      </w:r>
      <w:r w:rsidR="00A7609B">
        <w:t>.</w:t>
      </w:r>
      <w:r>
        <w:t>8</w:t>
      </w:r>
      <w:r w:rsidRPr="00D108FD">
        <w:t>,</w:t>
      </w:r>
      <w:r>
        <w:t>658.</w:t>
      </w:r>
      <w:r w:rsidRPr="00D108FD">
        <w:t>9 millones equivalente</w:t>
      </w:r>
      <w:r>
        <w:t>s</w:t>
      </w:r>
      <w:r w:rsidRPr="00D108FD">
        <w:t xml:space="preserve"> al 9</w:t>
      </w:r>
      <w:r>
        <w:t>6.3</w:t>
      </w:r>
      <w:r w:rsidRPr="00D108FD">
        <w:t>%.</w:t>
      </w:r>
    </w:p>
    <w:p w:rsidR="00625719" w:rsidRPr="00D108FD" w:rsidRDefault="00625719" w:rsidP="00625719">
      <w:pPr>
        <w:jc w:val="both"/>
      </w:pPr>
    </w:p>
    <w:p w:rsidR="00625719" w:rsidRDefault="00625719" w:rsidP="00625719">
      <w:pPr>
        <w:jc w:val="both"/>
      </w:pPr>
      <w:r>
        <w:t xml:space="preserve">Le sigue </w:t>
      </w:r>
      <w:r w:rsidRPr="00D108FD">
        <w:t xml:space="preserve">el programa “Educación Escolar de Preprimaria” con un presupuesto de </w:t>
      </w:r>
      <w:r>
        <w:t>Q</w:t>
      </w:r>
      <w:r w:rsidR="00A7609B">
        <w:t>.</w:t>
      </w:r>
      <w:r w:rsidRPr="00D108FD">
        <w:t>1,</w:t>
      </w:r>
      <w:r>
        <w:t>807.1</w:t>
      </w:r>
      <w:r w:rsidRPr="00D108FD">
        <w:t xml:space="preserve"> millones, y una ejecución presupuestaria de </w:t>
      </w:r>
      <w:r>
        <w:t>Q</w:t>
      </w:r>
      <w:r w:rsidR="00A7609B">
        <w:t>.</w:t>
      </w:r>
      <w:r>
        <w:t>2</w:t>
      </w:r>
      <w:r w:rsidRPr="00D108FD">
        <w:t>,</w:t>
      </w:r>
      <w:r>
        <w:t>012.8</w:t>
      </w:r>
      <w:r w:rsidRPr="00D108FD">
        <w:t xml:space="preserve"> millones equivalente</w:t>
      </w:r>
      <w:r>
        <w:t>s</w:t>
      </w:r>
      <w:r w:rsidRPr="00D108FD">
        <w:t xml:space="preserve"> al </w:t>
      </w:r>
      <w:r>
        <w:t>111.4</w:t>
      </w:r>
      <w:r w:rsidRPr="00D108FD">
        <w:t>%.</w:t>
      </w:r>
      <w:r w:rsidR="000771C4">
        <w:t xml:space="preserve"> </w:t>
      </w:r>
      <w:r>
        <w:t>Le sigue</w:t>
      </w:r>
      <w:r w:rsidRPr="00D108FD">
        <w:t xml:space="preserve"> </w:t>
      </w:r>
      <w:r>
        <w:t>e</w:t>
      </w:r>
      <w:r w:rsidRPr="00D108FD">
        <w:t xml:space="preserve">l programa </w:t>
      </w:r>
      <w:r>
        <w:t xml:space="preserve">de </w:t>
      </w:r>
      <w:r w:rsidRPr="00D108FD">
        <w:t xml:space="preserve">“Apoyo para el Consumo Adecuado de Alimentos” con un presupuesto de </w:t>
      </w:r>
      <w:r>
        <w:t>Q</w:t>
      </w:r>
      <w:r w:rsidR="00A7609B">
        <w:t>.</w:t>
      </w:r>
      <w:r w:rsidRPr="00D108FD">
        <w:t>1,</w:t>
      </w:r>
      <w:r>
        <w:t>879.2</w:t>
      </w:r>
      <w:r w:rsidRPr="00D108FD">
        <w:t xml:space="preserve"> millones, y una ejecución de </w:t>
      </w:r>
      <w:r>
        <w:t>Q</w:t>
      </w:r>
      <w:r w:rsidR="00A7609B">
        <w:t>.</w:t>
      </w:r>
      <w:r w:rsidRPr="00D108FD">
        <w:t>1,</w:t>
      </w:r>
      <w:r>
        <w:t>798.9</w:t>
      </w:r>
      <w:r w:rsidRPr="00D108FD">
        <w:t xml:space="preserve"> millones equivalente</w:t>
      </w:r>
      <w:r>
        <w:t>s</w:t>
      </w:r>
      <w:r w:rsidRPr="00D108FD">
        <w:t xml:space="preserve"> al 9</w:t>
      </w:r>
      <w:r>
        <w:t>5</w:t>
      </w:r>
      <w:r w:rsidRPr="00D108FD">
        <w:t>.7%.</w:t>
      </w:r>
    </w:p>
    <w:p w:rsidR="00625719" w:rsidRPr="00D108FD" w:rsidRDefault="00625719" w:rsidP="00625719">
      <w:pPr>
        <w:jc w:val="both"/>
      </w:pPr>
    </w:p>
    <w:p w:rsidR="00625719" w:rsidRDefault="00625719" w:rsidP="00625719">
      <w:pPr>
        <w:jc w:val="both"/>
      </w:pPr>
      <w:r w:rsidRPr="00D108FD">
        <w:t xml:space="preserve">El Programa de “Educación Escolar Básica” tuvo un presupuesto de </w:t>
      </w:r>
      <w:r>
        <w:t>Q</w:t>
      </w:r>
      <w:r w:rsidR="00A7609B">
        <w:t>.</w:t>
      </w:r>
      <w:r>
        <w:t>1,053.8</w:t>
      </w:r>
      <w:r w:rsidRPr="00D108FD">
        <w:t xml:space="preserve"> millones </w:t>
      </w:r>
      <w:r>
        <w:t>con un</w:t>
      </w:r>
      <w:r w:rsidRPr="00D108FD">
        <w:t xml:space="preserve">a ejecución presupuestaria de </w:t>
      </w:r>
      <w:r>
        <w:t>Q</w:t>
      </w:r>
      <w:r w:rsidR="00A7609B">
        <w:t>.</w:t>
      </w:r>
      <w:r>
        <w:t>1,046.8</w:t>
      </w:r>
      <w:r w:rsidRPr="00D108FD">
        <w:t xml:space="preserve"> millones equivalente</w:t>
      </w:r>
      <w:r>
        <w:t>s</w:t>
      </w:r>
      <w:r w:rsidRPr="00D108FD">
        <w:t xml:space="preserve"> al 99</w:t>
      </w:r>
      <w:r>
        <w:t>.3</w:t>
      </w:r>
      <w:r w:rsidRPr="00D108FD">
        <w:t>%.</w:t>
      </w:r>
    </w:p>
    <w:p w:rsidR="00625719" w:rsidRPr="00D108FD" w:rsidRDefault="00625719" w:rsidP="00625719">
      <w:pPr>
        <w:jc w:val="both"/>
      </w:pPr>
    </w:p>
    <w:p w:rsidR="00625719" w:rsidRDefault="00625719" w:rsidP="00625719">
      <w:pPr>
        <w:jc w:val="both"/>
      </w:pPr>
      <w:r>
        <w:t>L</w:t>
      </w:r>
      <w:r w:rsidRPr="00D108FD">
        <w:t xml:space="preserve">as Partidas No Asignables a Programas, </w:t>
      </w:r>
      <w:r>
        <w:t>tuvieron</w:t>
      </w:r>
      <w:r w:rsidRPr="00D108FD">
        <w:t xml:space="preserve"> un presupuesto</w:t>
      </w:r>
      <w:r>
        <w:t xml:space="preserve"> aprobado</w:t>
      </w:r>
      <w:r w:rsidRPr="00D108FD">
        <w:t xml:space="preserve"> de </w:t>
      </w:r>
      <w:r>
        <w:t>Q</w:t>
      </w:r>
      <w:r w:rsidR="00A7609B">
        <w:t>.</w:t>
      </w:r>
      <w:r w:rsidRPr="00D108FD">
        <w:t>5</w:t>
      </w:r>
      <w:r w:rsidR="00A7609B">
        <w:t>8</w:t>
      </w:r>
      <w:r w:rsidRPr="00D108FD">
        <w:t>5.</w:t>
      </w:r>
      <w:r>
        <w:t>5</w:t>
      </w:r>
      <w:r w:rsidRPr="00D108FD">
        <w:t xml:space="preserve"> millones, y una ejecución presupuestaria de </w:t>
      </w:r>
      <w:r>
        <w:t>Q</w:t>
      </w:r>
      <w:r w:rsidR="00A7609B">
        <w:t>.</w:t>
      </w:r>
      <w:r>
        <w:t>533.7</w:t>
      </w:r>
      <w:r w:rsidRPr="00D108FD">
        <w:t xml:space="preserve"> millones equivalente</w:t>
      </w:r>
      <w:r>
        <w:t xml:space="preserve">s </w:t>
      </w:r>
      <w:r w:rsidRPr="00D108FD">
        <w:t>al 91.</w:t>
      </w:r>
      <w:r>
        <w:t>2</w:t>
      </w:r>
      <w:r w:rsidRPr="00D108FD">
        <w:t>%</w:t>
      </w:r>
      <w:r>
        <w:t>.  Es importante comentar que</w:t>
      </w:r>
      <w:r w:rsidRPr="00D108FD">
        <w:t xml:space="preserve"> bajo este rubro se registran los aportes a las escuelas e institutos por cooperativa y al Comité Nacional de Alfabetización.</w:t>
      </w:r>
    </w:p>
    <w:p w:rsidR="00625719" w:rsidRPr="00D108FD" w:rsidRDefault="00625719" w:rsidP="00625719">
      <w:pPr>
        <w:jc w:val="both"/>
      </w:pPr>
    </w:p>
    <w:p w:rsidR="00625719" w:rsidRDefault="00625719" w:rsidP="00625719">
      <w:pPr>
        <w:jc w:val="both"/>
      </w:pPr>
      <w:r w:rsidRPr="00D108FD">
        <w:t xml:space="preserve">El programa de “Educación Diversificada” tuvo un presupuesto de </w:t>
      </w:r>
      <w:r>
        <w:t>Q</w:t>
      </w:r>
      <w:r w:rsidR="00A7609B">
        <w:t>.</w:t>
      </w:r>
      <w:r>
        <w:t>556.7</w:t>
      </w:r>
      <w:r w:rsidRPr="00D108FD">
        <w:t xml:space="preserve">, una ejecución de </w:t>
      </w:r>
      <w:r>
        <w:t>Q</w:t>
      </w:r>
      <w:r w:rsidR="00A7609B">
        <w:t>.</w:t>
      </w:r>
      <w:r w:rsidRPr="00D108FD">
        <w:t>4</w:t>
      </w:r>
      <w:r>
        <w:t>82.8</w:t>
      </w:r>
      <w:r w:rsidRPr="00D108FD">
        <w:t xml:space="preserve"> millones equivalente</w:t>
      </w:r>
      <w:r>
        <w:t>s</w:t>
      </w:r>
      <w:r w:rsidRPr="00D108FD">
        <w:t xml:space="preserve"> al </w:t>
      </w:r>
      <w:r>
        <w:t>86.7</w:t>
      </w:r>
      <w:r w:rsidRPr="00D108FD">
        <w:t>%.</w:t>
      </w:r>
    </w:p>
    <w:p w:rsidR="00625719" w:rsidRPr="00D108FD" w:rsidRDefault="00625719" w:rsidP="00625719">
      <w:pPr>
        <w:jc w:val="both"/>
      </w:pPr>
    </w:p>
    <w:p w:rsidR="00625719" w:rsidRDefault="00625719" w:rsidP="00625719">
      <w:pPr>
        <w:jc w:val="both"/>
      </w:pPr>
      <w:r w:rsidRPr="00D108FD">
        <w:t xml:space="preserve">El programa que se refiere a las Actividades Centrales tuvo un presupuesto de </w:t>
      </w:r>
      <w:r>
        <w:t>Q</w:t>
      </w:r>
      <w:r w:rsidR="00A7609B">
        <w:t>.</w:t>
      </w:r>
      <w:r>
        <w:t>635.7</w:t>
      </w:r>
      <w:r w:rsidRPr="00D108FD">
        <w:t xml:space="preserve"> millones y </w:t>
      </w:r>
      <w:r>
        <w:t>su</w:t>
      </w:r>
      <w:r w:rsidRPr="00D108FD">
        <w:t xml:space="preserve"> ejecución presupuestaria fue de </w:t>
      </w:r>
      <w:r>
        <w:t>Q</w:t>
      </w:r>
      <w:r w:rsidR="00A7609B">
        <w:t>.</w:t>
      </w:r>
      <w:r>
        <w:t>507.4</w:t>
      </w:r>
      <w:r w:rsidRPr="00D108FD">
        <w:t xml:space="preserve"> millones equivalente</w:t>
      </w:r>
      <w:r>
        <w:t>s</w:t>
      </w:r>
      <w:r w:rsidRPr="00D108FD">
        <w:t xml:space="preserve"> al </w:t>
      </w:r>
      <w:r>
        <w:t>7</w:t>
      </w:r>
      <w:r w:rsidRPr="00D108FD">
        <w:t>9</w:t>
      </w:r>
      <w:r>
        <w:t>.8</w:t>
      </w:r>
      <w:r w:rsidRPr="00D108FD">
        <w:t>%.</w:t>
      </w:r>
    </w:p>
    <w:p w:rsidR="00625719" w:rsidRDefault="00625719" w:rsidP="00625719">
      <w:pPr>
        <w:jc w:val="both"/>
      </w:pPr>
    </w:p>
    <w:p w:rsidR="00625719" w:rsidRDefault="00625719" w:rsidP="00625719">
      <w:pPr>
        <w:jc w:val="both"/>
      </w:pPr>
      <w:r>
        <w:t>Los restantes 5 programas tuvieron una ejecución por debajo de Q</w:t>
      </w:r>
      <w:r w:rsidR="00A7609B">
        <w:t>.</w:t>
      </w:r>
      <w:r>
        <w:t>297.4 millones, ejecutados por el programa “actividades comunes a los programas de preprimaria, primaria, básicos y diversificado</w:t>
      </w:r>
      <w:r w:rsidRPr="00D108FD">
        <w:t>.</w:t>
      </w: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Programa!F55C2:F68C6" \a \f 4 \h  \* MERGEFORMAT </w:instrText>
      </w:r>
      <w:r>
        <w:rPr>
          <w:noProof/>
          <w:lang w:val="es-GT" w:eastAsia="es-GT"/>
        </w:rPr>
        <w:fldChar w:fldCharType="separate"/>
      </w:r>
    </w:p>
    <w:tbl>
      <w:tblPr>
        <w:tblW w:w="9356" w:type="dxa"/>
        <w:tblInd w:w="70" w:type="dxa"/>
        <w:tblCellMar>
          <w:left w:w="70" w:type="dxa"/>
          <w:right w:w="70" w:type="dxa"/>
        </w:tblCellMar>
        <w:tblLook w:val="04A0" w:firstRow="1" w:lastRow="0" w:firstColumn="1" w:lastColumn="0" w:noHBand="0" w:noVBand="1"/>
      </w:tblPr>
      <w:tblGrid>
        <w:gridCol w:w="5245"/>
        <w:gridCol w:w="1134"/>
        <w:gridCol w:w="992"/>
        <w:gridCol w:w="993"/>
        <w:gridCol w:w="992"/>
      </w:tblGrid>
      <w:tr w:rsidR="00625719" w:rsidRPr="00B764CA" w:rsidTr="00A7609B">
        <w:trPr>
          <w:trHeight w:val="284"/>
        </w:trPr>
        <w:tc>
          <w:tcPr>
            <w:tcW w:w="5245"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B764CA" w:rsidRDefault="00625719" w:rsidP="00F161D7">
            <w:pPr>
              <w:jc w:val="center"/>
              <w:rPr>
                <w:b/>
                <w:bCs/>
                <w:color w:val="000000"/>
                <w:sz w:val="14"/>
                <w:szCs w:val="20"/>
                <w:lang w:val="es-GT" w:eastAsia="es-GT"/>
              </w:rPr>
            </w:pPr>
            <w:r w:rsidRPr="00B764CA">
              <w:rPr>
                <w:b/>
                <w:bCs/>
                <w:color w:val="000000"/>
                <w:sz w:val="14"/>
                <w:szCs w:val="20"/>
                <w:lang w:val="es-GT" w:eastAsia="es-GT"/>
              </w:rPr>
              <w:t>DESCRIPCION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B764CA" w:rsidRDefault="00625719" w:rsidP="00F161D7">
            <w:pPr>
              <w:jc w:val="center"/>
              <w:rPr>
                <w:b/>
                <w:bCs/>
                <w:color w:val="000000"/>
                <w:sz w:val="14"/>
                <w:szCs w:val="20"/>
                <w:lang w:val="es-GT" w:eastAsia="es-GT"/>
              </w:rPr>
            </w:pPr>
            <w:r w:rsidRPr="00B764CA">
              <w:rPr>
                <w:b/>
                <w:bCs/>
                <w:color w:val="000000"/>
                <w:sz w:val="14"/>
                <w:szCs w:val="20"/>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hideMark/>
          </w:tcPr>
          <w:p w:rsidR="00625719" w:rsidRPr="00B764CA" w:rsidRDefault="00625719" w:rsidP="00F161D7">
            <w:pPr>
              <w:jc w:val="center"/>
              <w:rPr>
                <w:b/>
                <w:bCs/>
                <w:color w:val="000000"/>
                <w:sz w:val="14"/>
                <w:szCs w:val="20"/>
                <w:lang w:val="es-GT" w:eastAsia="es-GT"/>
              </w:rPr>
            </w:pPr>
            <w:r w:rsidRPr="00B764CA">
              <w:rPr>
                <w:b/>
                <w:bCs/>
                <w:color w:val="000000"/>
                <w:sz w:val="14"/>
                <w:szCs w:val="20"/>
                <w:lang w:val="es-GT" w:eastAsia="es-GT"/>
              </w:rPr>
              <w:t>EJECUCIÓN</w:t>
            </w:r>
          </w:p>
        </w:tc>
        <w:tc>
          <w:tcPr>
            <w:tcW w:w="993" w:type="dxa"/>
            <w:tcBorders>
              <w:top w:val="single" w:sz="8" w:space="0" w:color="auto"/>
              <w:left w:val="nil"/>
              <w:bottom w:val="single" w:sz="4" w:space="0" w:color="auto"/>
              <w:right w:val="single" w:sz="4" w:space="0" w:color="auto"/>
            </w:tcBorders>
            <w:shd w:val="clear" w:color="000000" w:fill="8DB4E2"/>
            <w:noWrap/>
            <w:hideMark/>
          </w:tcPr>
          <w:p w:rsidR="00625719" w:rsidRPr="00B764CA" w:rsidRDefault="00625719" w:rsidP="00F161D7">
            <w:pPr>
              <w:jc w:val="center"/>
              <w:rPr>
                <w:b/>
                <w:bCs/>
                <w:color w:val="000000"/>
                <w:sz w:val="14"/>
                <w:szCs w:val="20"/>
                <w:lang w:val="es-GT" w:eastAsia="es-GT"/>
              </w:rPr>
            </w:pPr>
            <w:r w:rsidRPr="00B764CA">
              <w:rPr>
                <w:b/>
                <w:bCs/>
                <w:color w:val="000000"/>
                <w:sz w:val="14"/>
                <w:szCs w:val="20"/>
                <w:lang w:val="es-GT" w:eastAsia="es-GT"/>
              </w:rPr>
              <w:t>Diferencias</w:t>
            </w:r>
          </w:p>
        </w:tc>
        <w:tc>
          <w:tcPr>
            <w:tcW w:w="992" w:type="dxa"/>
            <w:tcBorders>
              <w:top w:val="single" w:sz="8" w:space="0" w:color="auto"/>
              <w:left w:val="nil"/>
              <w:bottom w:val="single" w:sz="4" w:space="0" w:color="auto"/>
              <w:right w:val="single" w:sz="8" w:space="0" w:color="auto"/>
            </w:tcBorders>
            <w:shd w:val="clear" w:color="000000" w:fill="8DB4E2"/>
            <w:noWrap/>
            <w:hideMark/>
          </w:tcPr>
          <w:p w:rsidR="00625719" w:rsidRPr="00B764CA" w:rsidRDefault="00625719" w:rsidP="00F161D7">
            <w:pPr>
              <w:jc w:val="center"/>
              <w:rPr>
                <w:b/>
                <w:bCs/>
                <w:color w:val="000000"/>
                <w:sz w:val="14"/>
                <w:szCs w:val="20"/>
                <w:lang w:val="es-GT" w:eastAsia="es-GT"/>
              </w:rPr>
            </w:pPr>
            <w:r w:rsidRPr="00B764CA">
              <w:rPr>
                <w:b/>
                <w:bCs/>
                <w:color w:val="000000"/>
                <w:sz w:val="14"/>
                <w:szCs w:val="20"/>
                <w:lang w:val="es-GT" w:eastAsia="es-GT"/>
              </w:rPr>
              <w:t>% Ejec</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rPr>
                <w:b/>
                <w:bCs/>
                <w:color w:val="333333"/>
                <w:sz w:val="14"/>
                <w:szCs w:val="20"/>
                <w:lang w:val="es-GT" w:eastAsia="es-GT"/>
              </w:rPr>
            </w:pPr>
            <w:r w:rsidRPr="00B764CA">
              <w:rPr>
                <w:b/>
                <w:bCs/>
                <w:color w:val="333333"/>
                <w:sz w:val="14"/>
                <w:szCs w:val="20"/>
                <w:lang w:val="es-GT" w:eastAsia="es-GT"/>
              </w:rPr>
              <w:t>MINISTERIO DE EDUCACIÓN</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b/>
                <w:bCs/>
                <w:color w:val="333333"/>
                <w:sz w:val="14"/>
                <w:szCs w:val="20"/>
                <w:lang w:val="es-GT" w:eastAsia="es-GT"/>
              </w:rPr>
            </w:pPr>
            <w:r w:rsidRPr="00B764CA">
              <w:rPr>
                <w:b/>
                <w:bCs/>
                <w:color w:val="333333"/>
                <w:sz w:val="14"/>
                <w:szCs w:val="20"/>
                <w:lang w:val="es-GT" w:eastAsia="es-GT"/>
              </w:rPr>
              <w:t>16,530.6</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b/>
                <w:bCs/>
                <w:color w:val="333333"/>
                <w:sz w:val="14"/>
                <w:szCs w:val="20"/>
                <w:lang w:val="es-GT" w:eastAsia="es-GT"/>
              </w:rPr>
            </w:pPr>
            <w:r w:rsidRPr="00B764CA">
              <w:rPr>
                <w:b/>
                <w:bCs/>
                <w:color w:val="333333"/>
                <w:sz w:val="14"/>
                <w:szCs w:val="20"/>
                <w:lang w:val="es-GT" w:eastAsia="es-GT"/>
              </w:rPr>
              <w:t>15,814.8</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b/>
                <w:bCs/>
                <w:color w:val="333333"/>
                <w:sz w:val="14"/>
                <w:szCs w:val="20"/>
                <w:lang w:val="es-GT" w:eastAsia="es-GT"/>
              </w:rPr>
            </w:pPr>
            <w:r w:rsidRPr="00B764CA">
              <w:rPr>
                <w:b/>
                <w:bCs/>
                <w:color w:val="333333"/>
                <w:sz w:val="14"/>
                <w:szCs w:val="20"/>
                <w:lang w:val="es-GT" w:eastAsia="es-GT"/>
              </w:rPr>
              <w:t>715.8</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b/>
                <w:bCs/>
                <w:color w:val="333333"/>
                <w:sz w:val="14"/>
                <w:szCs w:val="20"/>
                <w:lang w:val="es-GT" w:eastAsia="es-GT"/>
              </w:rPr>
            </w:pPr>
            <w:r w:rsidRPr="00B764CA">
              <w:rPr>
                <w:b/>
                <w:bCs/>
                <w:color w:val="333333"/>
                <w:sz w:val="14"/>
                <w:szCs w:val="20"/>
                <w:lang w:val="es-GT" w:eastAsia="es-GT"/>
              </w:rPr>
              <w:t>95.7%</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EDUCACIÓN ESCOLAR DE PRIMARIA</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8,993.7</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8,658.9</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334.8</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96.3%</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EDUCACIÓN ESCOLAR DE PREPRIMARIA</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1,807.1</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2,012.8</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-205.7</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111.4%</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APOYO CONSUMO ADECUADO DE ALIMENTOS</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1,879.2</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1,798.9</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80.2</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95.7%</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EDUCACIÓN ESCOLAR BÁSICA</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1,053.8</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1,046.8</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7.0</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99.3%</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PARTIDAS NO ASIGNABLES A PROGRAMAS</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585.5</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533.7</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51.8</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91.2%</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ACTIVIDADES CENTRALES</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635.7</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507.4</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128.4</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79.8%</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EDUCACIÓN ESCOLAR DIVERSIFICADA</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556.7</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482.8</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74.0</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86.7%</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ACTIVIDADES COMUNES PREPRIM, PRIM</w:t>
            </w:r>
            <w:r>
              <w:rPr>
                <w:color w:val="333333"/>
                <w:sz w:val="14"/>
                <w:szCs w:val="20"/>
                <w:lang w:val="es-GT" w:eastAsia="es-GT"/>
              </w:rPr>
              <w:t>ARIA</w:t>
            </w:r>
            <w:r w:rsidRPr="00B764CA">
              <w:rPr>
                <w:color w:val="333333"/>
                <w:sz w:val="14"/>
                <w:szCs w:val="20"/>
                <w:lang w:val="es-GT" w:eastAsia="es-GT"/>
              </w:rPr>
              <w:t>, BÁS</w:t>
            </w:r>
            <w:r>
              <w:rPr>
                <w:color w:val="333333"/>
                <w:sz w:val="14"/>
                <w:szCs w:val="20"/>
                <w:lang w:val="es-GT" w:eastAsia="es-GT"/>
              </w:rPr>
              <w:t>ICOS Y</w:t>
            </w:r>
            <w:r w:rsidRPr="00B764CA">
              <w:rPr>
                <w:color w:val="333333"/>
                <w:sz w:val="14"/>
                <w:szCs w:val="20"/>
                <w:lang w:val="es-GT" w:eastAsia="es-GT"/>
              </w:rPr>
              <w:t xml:space="preserve"> DIVERS</w:t>
            </w:r>
            <w:r>
              <w:rPr>
                <w:color w:val="333333"/>
                <w:sz w:val="14"/>
                <w:szCs w:val="20"/>
                <w:lang w:val="es-GT" w:eastAsia="es-GT"/>
              </w:rPr>
              <w:t>IFICA</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440.7</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297.4</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143.3</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67.5%</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ACTIVIDADES COMUNES PREPRIMARIA Y PRIMARIA</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162.1</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189.8</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-27.7</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117.1%</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ACTIVIDADES COMUNES PRIM</w:t>
            </w:r>
            <w:r>
              <w:rPr>
                <w:color w:val="333333"/>
                <w:sz w:val="14"/>
                <w:szCs w:val="20"/>
                <w:lang w:val="es-GT" w:eastAsia="es-GT"/>
              </w:rPr>
              <w:t>ARIA</w:t>
            </w:r>
            <w:r w:rsidRPr="00B764CA">
              <w:rPr>
                <w:color w:val="333333"/>
                <w:sz w:val="14"/>
                <w:szCs w:val="20"/>
                <w:lang w:val="es-GT" w:eastAsia="es-GT"/>
              </w:rPr>
              <w:t xml:space="preserve"> BÁS</w:t>
            </w:r>
            <w:r>
              <w:rPr>
                <w:color w:val="333333"/>
                <w:sz w:val="14"/>
                <w:szCs w:val="20"/>
                <w:lang w:val="es-GT" w:eastAsia="es-GT"/>
              </w:rPr>
              <w:t>ICOS</w:t>
            </w:r>
            <w:r w:rsidRPr="00B764CA">
              <w:rPr>
                <w:color w:val="333333"/>
                <w:sz w:val="14"/>
                <w:szCs w:val="20"/>
                <w:lang w:val="es-GT" w:eastAsia="es-GT"/>
              </w:rPr>
              <w:t xml:space="preserve"> Y DIVERSIFICADO</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295.7</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177.7</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118.0</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60.1%</w:t>
            </w:r>
          </w:p>
        </w:tc>
      </w:tr>
      <w:tr w:rsidR="00625719" w:rsidRPr="00B764CA" w:rsidTr="00A7609B">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EDUCACIÓN EXTRAESCOLAR</w:t>
            </w:r>
          </w:p>
        </w:tc>
        <w:tc>
          <w:tcPr>
            <w:tcW w:w="1134"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117.1</w:t>
            </w:r>
          </w:p>
        </w:tc>
        <w:tc>
          <w:tcPr>
            <w:tcW w:w="992"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101.9</w:t>
            </w:r>
          </w:p>
        </w:tc>
        <w:tc>
          <w:tcPr>
            <w:tcW w:w="993" w:type="dxa"/>
            <w:tcBorders>
              <w:top w:val="nil"/>
              <w:left w:val="nil"/>
              <w:bottom w:val="nil"/>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15.2</w:t>
            </w:r>
          </w:p>
        </w:tc>
        <w:tc>
          <w:tcPr>
            <w:tcW w:w="992" w:type="dxa"/>
            <w:tcBorders>
              <w:top w:val="nil"/>
              <w:left w:val="nil"/>
              <w:bottom w:val="nil"/>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87.0%</w:t>
            </w:r>
          </w:p>
        </w:tc>
      </w:tr>
      <w:tr w:rsidR="00625719" w:rsidRPr="00B764CA" w:rsidTr="00A7609B">
        <w:trPr>
          <w:trHeight w:val="284"/>
        </w:trPr>
        <w:tc>
          <w:tcPr>
            <w:tcW w:w="5245" w:type="dxa"/>
            <w:tcBorders>
              <w:top w:val="nil"/>
              <w:left w:val="single" w:sz="8" w:space="0" w:color="auto"/>
              <w:bottom w:val="single" w:sz="8" w:space="0" w:color="auto"/>
              <w:right w:val="single" w:sz="4" w:space="0" w:color="auto"/>
            </w:tcBorders>
            <w:shd w:val="clear" w:color="FFFFFF" w:fill="FFFFFF"/>
            <w:noWrap/>
            <w:vAlign w:val="bottom"/>
            <w:hideMark/>
          </w:tcPr>
          <w:p w:rsidR="00625719" w:rsidRPr="00B764CA" w:rsidRDefault="00625719" w:rsidP="00F161D7">
            <w:pPr>
              <w:ind w:firstLineChars="200" w:firstLine="280"/>
              <w:rPr>
                <w:color w:val="333333"/>
                <w:sz w:val="14"/>
                <w:szCs w:val="20"/>
                <w:lang w:val="es-GT" w:eastAsia="es-GT"/>
              </w:rPr>
            </w:pPr>
            <w:r w:rsidRPr="00B764CA">
              <w:rPr>
                <w:color w:val="333333"/>
                <w:sz w:val="14"/>
                <w:szCs w:val="20"/>
                <w:lang w:val="es-GT" w:eastAsia="es-GT"/>
              </w:rPr>
              <w:t>EDUCACIÓN INICIAL</w:t>
            </w:r>
          </w:p>
        </w:tc>
        <w:tc>
          <w:tcPr>
            <w:tcW w:w="1134"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3.4</w:t>
            </w:r>
          </w:p>
        </w:tc>
        <w:tc>
          <w:tcPr>
            <w:tcW w:w="992" w:type="dxa"/>
            <w:tcBorders>
              <w:top w:val="nil"/>
              <w:left w:val="nil"/>
              <w:bottom w:val="single" w:sz="8" w:space="0" w:color="auto"/>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6.8</w:t>
            </w:r>
          </w:p>
        </w:tc>
        <w:tc>
          <w:tcPr>
            <w:tcW w:w="993"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-3.4</w:t>
            </w:r>
          </w:p>
        </w:tc>
        <w:tc>
          <w:tcPr>
            <w:tcW w:w="992" w:type="dxa"/>
            <w:tcBorders>
              <w:top w:val="nil"/>
              <w:left w:val="single" w:sz="4" w:space="0" w:color="auto"/>
              <w:bottom w:val="single" w:sz="8" w:space="0" w:color="auto"/>
              <w:right w:val="single" w:sz="8" w:space="0" w:color="auto"/>
            </w:tcBorders>
            <w:shd w:val="clear" w:color="FFFFFF" w:fill="FFFFFF"/>
            <w:noWrap/>
            <w:vAlign w:val="bottom"/>
            <w:hideMark/>
          </w:tcPr>
          <w:p w:rsidR="00625719" w:rsidRPr="00B764CA" w:rsidRDefault="00625719" w:rsidP="00F161D7">
            <w:pPr>
              <w:jc w:val="right"/>
              <w:rPr>
                <w:color w:val="333333"/>
                <w:sz w:val="14"/>
                <w:szCs w:val="20"/>
                <w:lang w:val="es-GT" w:eastAsia="es-GT"/>
              </w:rPr>
            </w:pPr>
            <w:r w:rsidRPr="00B764CA">
              <w:rPr>
                <w:color w:val="333333"/>
                <w:sz w:val="14"/>
                <w:szCs w:val="20"/>
                <w:lang w:val="es-GT" w:eastAsia="es-GT"/>
              </w:rPr>
              <w:t>202.3%</w:t>
            </w: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Default="00625719" w:rsidP="00625719">
      <w:pPr>
        <w:jc w:val="both"/>
      </w:pPr>
    </w:p>
    <w:p w:rsidR="000771C4" w:rsidRPr="00D108FD" w:rsidRDefault="000771C4" w:rsidP="00625719">
      <w:pPr>
        <w:jc w:val="both"/>
      </w:pPr>
    </w:p>
    <w:p w:rsidR="00625719" w:rsidRDefault="00625719" w:rsidP="00625719">
      <w:pPr>
        <w:jc w:val="both"/>
        <w:rPr>
          <w:b/>
        </w:rPr>
      </w:pPr>
    </w:p>
    <w:p w:rsidR="00625719" w:rsidRDefault="00625719" w:rsidP="00625719">
      <w:pPr>
        <w:jc w:val="both"/>
        <w:rPr>
          <w:b/>
        </w:rPr>
      </w:pPr>
      <w:r w:rsidRPr="00D108FD">
        <w:rPr>
          <w:b/>
        </w:rPr>
        <w:t>Ministerio de Salud Pública y Asistencia Social</w:t>
      </w:r>
      <w:r>
        <w:rPr>
          <w:b/>
        </w:rPr>
        <w:t>:</w:t>
      </w:r>
    </w:p>
    <w:p w:rsidR="00625719" w:rsidRPr="00D108FD" w:rsidRDefault="00625719" w:rsidP="00625719">
      <w:pPr>
        <w:jc w:val="both"/>
        <w:rPr>
          <w:b/>
        </w:rPr>
      </w:pPr>
    </w:p>
    <w:p w:rsidR="00625719" w:rsidRDefault="00625719" w:rsidP="00625719">
      <w:pPr>
        <w:jc w:val="both"/>
      </w:pPr>
      <w:r w:rsidRPr="00D108FD">
        <w:t>El M</w:t>
      </w:r>
      <w:r>
        <w:t>inisterio de Salud Pública y Asistencia Social</w:t>
      </w:r>
      <w:r w:rsidRPr="00D108FD">
        <w:t xml:space="preserve"> tuvo un presupuesto </w:t>
      </w:r>
      <w:r>
        <w:t xml:space="preserve">aprobado </w:t>
      </w:r>
      <w:r w:rsidRPr="00D108FD">
        <w:t xml:space="preserve">de </w:t>
      </w:r>
      <w:r>
        <w:t>Q</w:t>
      </w:r>
      <w:r w:rsidR="000771C4">
        <w:t>.</w:t>
      </w:r>
      <w:r>
        <w:t>8</w:t>
      </w:r>
      <w:r w:rsidRPr="00D108FD">
        <w:t>,</w:t>
      </w:r>
      <w:r>
        <w:t>197.2</w:t>
      </w:r>
      <w:r w:rsidRPr="00D108FD">
        <w:t xml:space="preserve"> millones y una ejecución presupuestaria de </w:t>
      </w:r>
      <w:r>
        <w:t>Q</w:t>
      </w:r>
      <w:r w:rsidR="000771C4">
        <w:t>.</w:t>
      </w:r>
      <w:r>
        <w:t>7</w:t>
      </w:r>
      <w:r w:rsidRPr="00D108FD">
        <w:t>,</w:t>
      </w:r>
      <w:r>
        <w:t>895.</w:t>
      </w:r>
      <w:r w:rsidRPr="00D108FD">
        <w:t>6 millones equivalente al 9</w:t>
      </w:r>
      <w:r>
        <w:t>6.3</w:t>
      </w:r>
      <w:r w:rsidRPr="00D108FD">
        <w:t>%.</w:t>
      </w:r>
    </w:p>
    <w:p w:rsidR="00625719" w:rsidRPr="00D108FD" w:rsidRDefault="00625719" w:rsidP="00625719">
      <w:pPr>
        <w:jc w:val="both"/>
      </w:pPr>
    </w:p>
    <w:p w:rsidR="00625719" w:rsidRDefault="00625719" w:rsidP="00625719">
      <w:pPr>
        <w:jc w:val="both"/>
      </w:pPr>
      <w:r w:rsidRPr="00D108FD">
        <w:t xml:space="preserve">Con base a las prioridades de este ministerio se tiene como primer punto al programa “Recuperación de la Salud”, el cual tuvo un presupuesto </w:t>
      </w:r>
      <w:r>
        <w:t xml:space="preserve">aprobado </w:t>
      </w:r>
      <w:r w:rsidRPr="00D108FD">
        <w:t>de Q</w:t>
      </w:r>
      <w:r w:rsidR="000771C4">
        <w:t>.</w:t>
      </w:r>
      <w:r>
        <w:t>4</w:t>
      </w:r>
      <w:r w:rsidRPr="00D108FD">
        <w:t>,</w:t>
      </w:r>
      <w:r>
        <w:t>173.1</w:t>
      </w:r>
      <w:r w:rsidRPr="00D108FD">
        <w:t xml:space="preserve"> millones, el S</w:t>
      </w:r>
      <w:r w:rsidR="005E6137">
        <w:t>ICOIN</w:t>
      </w:r>
      <w:r w:rsidRPr="00D108FD">
        <w:t xml:space="preserve"> reporta una ejecución presupuestaria de </w:t>
      </w:r>
      <w:r>
        <w:t>Q</w:t>
      </w:r>
      <w:r w:rsidR="000771C4">
        <w:t>.</w:t>
      </w:r>
      <w:r>
        <w:t>3</w:t>
      </w:r>
      <w:r w:rsidRPr="00D108FD">
        <w:t>,</w:t>
      </w:r>
      <w:r>
        <w:t>679.2</w:t>
      </w:r>
      <w:r w:rsidRPr="00D108FD">
        <w:t xml:space="preserve"> millones equivalente al </w:t>
      </w:r>
      <w:r>
        <w:t>88.2</w:t>
      </w:r>
      <w:r w:rsidRPr="00D108FD">
        <w:t>%</w:t>
      </w:r>
      <w:r>
        <w:t>.</w:t>
      </w:r>
    </w:p>
    <w:p w:rsidR="00625719" w:rsidRPr="00D108FD" w:rsidRDefault="00625719" w:rsidP="00625719">
      <w:pPr>
        <w:jc w:val="both"/>
      </w:pPr>
    </w:p>
    <w:p w:rsidR="00625719" w:rsidRDefault="00625719" w:rsidP="00625719">
      <w:pPr>
        <w:jc w:val="both"/>
      </w:pPr>
      <w:r w:rsidRPr="00D108FD">
        <w:t xml:space="preserve">El programa sobre “Fomento de Salud y Medicina Preventiva” tuvo un presupuesto de </w:t>
      </w:r>
      <w:r>
        <w:t>Q</w:t>
      </w:r>
      <w:r w:rsidR="000771C4">
        <w:t>.</w:t>
      </w:r>
      <w:r w:rsidRPr="00D108FD">
        <w:t>9</w:t>
      </w:r>
      <w:r>
        <w:t>57.7</w:t>
      </w:r>
      <w:r w:rsidRPr="00D108FD">
        <w:t xml:space="preserve"> millones y una ejecución presupuestaria de </w:t>
      </w:r>
      <w:r>
        <w:t>Q</w:t>
      </w:r>
      <w:r w:rsidR="000771C4">
        <w:t>.</w:t>
      </w:r>
      <w:r>
        <w:t>1,255.4</w:t>
      </w:r>
      <w:r w:rsidRPr="00D108FD">
        <w:t xml:space="preserve"> millones equivalente al </w:t>
      </w:r>
      <w:r>
        <w:t>131.1</w:t>
      </w:r>
      <w:r w:rsidRPr="00D108FD">
        <w:t>%</w:t>
      </w:r>
      <w:r>
        <w:t>.</w:t>
      </w:r>
    </w:p>
    <w:p w:rsidR="00625719" w:rsidRPr="00D108FD" w:rsidRDefault="00625719" w:rsidP="00625719">
      <w:pPr>
        <w:jc w:val="both"/>
      </w:pPr>
    </w:p>
    <w:p w:rsidR="00625719" w:rsidRDefault="00625719" w:rsidP="00625719">
      <w:pPr>
        <w:jc w:val="both"/>
      </w:pPr>
      <w:r w:rsidRPr="00D108FD">
        <w:t xml:space="preserve">A continuación, se presenta el programa “Prevención de la Mortalidad de la Niñez y de la Desnutrición Crónica” que tuvo un presupuesto </w:t>
      </w:r>
      <w:r>
        <w:t xml:space="preserve">aprobado </w:t>
      </w:r>
      <w:r w:rsidRPr="00D108FD">
        <w:t xml:space="preserve">de </w:t>
      </w:r>
      <w:r>
        <w:t>Q</w:t>
      </w:r>
      <w:r w:rsidR="000771C4">
        <w:t>.</w:t>
      </w:r>
      <w:r>
        <w:t>1,040.4</w:t>
      </w:r>
      <w:r w:rsidRPr="00D108FD">
        <w:t xml:space="preserve"> millones y una ejecución presupuestaria de </w:t>
      </w:r>
      <w:r>
        <w:t>Q</w:t>
      </w:r>
      <w:r w:rsidR="000771C4">
        <w:t>.</w:t>
      </w:r>
      <w:r>
        <w:t>858.2</w:t>
      </w:r>
      <w:r w:rsidRPr="00D108FD">
        <w:t xml:space="preserve"> millones equivalente al 8</w:t>
      </w:r>
      <w:r>
        <w:t>2.5</w:t>
      </w:r>
      <w:r w:rsidRPr="00D108FD">
        <w:t>%.</w:t>
      </w:r>
    </w:p>
    <w:p w:rsidR="00625719" w:rsidRPr="00D108FD" w:rsidRDefault="00625719" w:rsidP="00625719">
      <w:pPr>
        <w:jc w:val="both"/>
      </w:pPr>
    </w:p>
    <w:p w:rsidR="00625719" w:rsidRDefault="00625719" w:rsidP="00625719">
      <w:pPr>
        <w:jc w:val="both"/>
      </w:pPr>
      <w:r>
        <w:t>Las</w:t>
      </w:r>
      <w:r w:rsidRPr="00D108FD">
        <w:t xml:space="preserve"> Partidas No Asignables a Programas </w:t>
      </w:r>
      <w:r>
        <w:t>iniciaron el año con</w:t>
      </w:r>
      <w:r w:rsidRPr="00D108FD">
        <w:t xml:space="preserve"> un presupuesto</w:t>
      </w:r>
      <w:r>
        <w:t xml:space="preserve"> aprobado</w:t>
      </w:r>
      <w:r w:rsidRPr="00D108FD">
        <w:t xml:space="preserve"> de </w:t>
      </w:r>
      <w:r>
        <w:t>Q</w:t>
      </w:r>
      <w:r w:rsidR="000771C4">
        <w:t>.</w:t>
      </w:r>
      <w:r>
        <w:t>520.9</w:t>
      </w:r>
      <w:r w:rsidRPr="00D108FD">
        <w:t xml:space="preserve"> millones, </w:t>
      </w:r>
      <w:r>
        <w:t>mostraron</w:t>
      </w:r>
      <w:r w:rsidRPr="00D108FD">
        <w:t xml:space="preserve"> </w:t>
      </w:r>
      <w:r>
        <w:t xml:space="preserve">una </w:t>
      </w:r>
      <w:r w:rsidRPr="00D108FD">
        <w:t>ejecución presupuestaria</w:t>
      </w:r>
      <w:r>
        <w:t xml:space="preserve"> preliminar</w:t>
      </w:r>
      <w:r w:rsidRPr="00D108FD">
        <w:t xml:space="preserve"> de </w:t>
      </w:r>
      <w:r>
        <w:t>Q</w:t>
      </w:r>
      <w:r w:rsidR="000771C4">
        <w:t>.</w:t>
      </w:r>
      <w:r w:rsidRPr="00D108FD">
        <w:t>5</w:t>
      </w:r>
      <w:r>
        <w:t>68.9</w:t>
      </w:r>
      <w:r w:rsidRPr="00D108FD">
        <w:t xml:space="preserve"> millones equivalente al </w:t>
      </w:r>
      <w:r>
        <w:t>10</w:t>
      </w:r>
      <w:r w:rsidRPr="00D108FD">
        <w:t>9</w:t>
      </w:r>
      <w:r>
        <w:t xml:space="preserve">.2%. </w:t>
      </w:r>
      <w:r w:rsidRPr="00D108FD">
        <w:t xml:space="preserve">La mayor ejecución dentro de este programa, se ejecutó </w:t>
      </w:r>
      <w:r>
        <w:t>con el aporte a la Unidad de Atención al Enfermo Renal Crónico -UNAERC- con Q</w:t>
      </w:r>
      <w:r w:rsidR="000771C4">
        <w:t>.</w:t>
      </w:r>
      <w:r>
        <w:t xml:space="preserve">230.0 millones </w:t>
      </w:r>
      <w:r w:rsidRPr="00D108FD">
        <w:t>bajo el subprograma Aportes a Entidades Asistenciales, específicamente bajo el renglón 432</w:t>
      </w:r>
      <w:r w:rsidR="000771C4">
        <w:t xml:space="preserve"> “</w:t>
      </w:r>
      <w:r w:rsidRPr="00D108FD">
        <w:t xml:space="preserve">Transferencias a </w:t>
      </w:r>
      <w:r w:rsidR="000771C4">
        <w:t>i</w:t>
      </w:r>
      <w:r w:rsidRPr="00D108FD">
        <w:t xml:space="preserve">nstituciones de </w:t>
      </w:r>
      <w:r w:rsidR="000771C4">
        <w:t>s</w:t>
      </w:r>
      <w:r w:rsidRPr="00D108FD">
        <w:t xml:space="preserve">alud y </w:t>
      </w:r>
      <w:r w:rsidR="000771C4">
        <w:t>a</w:t>
      </w:r>
      <w:r w:rsidRPr="00D108FD">
        <w:t xml:space="preserve">sistencia </w:t>
      </w:r>
      <w:r w:rsidR="000771C4">
        <w:t>s</w:t>
      </w:r>
      <w:r w:rsidRPr="00D108FD">
        <w:t>ocial</w:t>
      </w:r>
      <w:r w:rsidR="000771C4">
        <w:t>”</w:t>
      </w:r>
      <w:r w:rsidRPr="00D108FD">
        <w:t>, así:</w:t>
      </w:r>
    </w:p>
    <w:p w:rsidR="00625719" w:rsidRPr="00D108FD" w:rsidRDefault="00625719" w:rsidP="00625719">
      <w:pPr>
        <w:jc w:val="both"/>
      </w:pPr>
    </w:p>
    <w:p w:rsidR="00625719" w:rsidRDefault="00625719" w:rsidP="00625719">
      <w:pPr>
        <w:jc w:val="both"/>
      </w:pPr>
      <w:r w:rsidRPr="00D108FD">
        <w:t xml:space="preserve">Las cantidades más significativas se transfirieron a la Unidad Nacional de Atención al Enfermo Renal Crónico </w:t>
      </w:r>
      <w:r w:rsidR="000771C4">
        <w:t>-</w:t>
      </w:r>
      <w:r w:rsidRPr="00D108FD">
        <w:t xml:space="preserve">UNAERC- por </w:t>
      </w:r>
      <w:r>
        <w:t>Q</w:t>
      </w:r>
      <w:r w:rsidR="000771C4">
        <w:t>.</w:t>
      </w:r>
      <w:r w:rsidRPr="00D108FD">
        <w:t>230.0 millones, a la Unidad de Cirugía Cardiovascular de Guatemala por Q</w:t>
      </w:r>
      <w:r w:rsidR="000771C4">
        <w:t>.</w:t>
      </w:r>
      <w:r>
        <w:t>62.3</w:t>
      </w:r>
      <w:r w:rsidRPr="00D108FD">
        <w:t xml:space="preserve"> millones, a la Unidad Nacional de Oncología Pediátrica por </w:t>
      </w:r>
      <w:r>
        <w:t>Q</w:t>
      </w:r>
      <w:r w:rsidR="000771C4">
        <w:t>.</w:t>
      </w:r>
      <w:r>
        <w:t>57</w:t>
      </w:r>
      <w:r w:rsidRPr="00D108FD">
        <w:t xml:space="preserve">.0 millones, a la Liga Nacional Contra el Cáncer por </w:t>
      </w:r>
      <w:r>
        <w:t>Q</w:t>
      </w:r>
      <w:r w:rsidR="000771C4">
        <w:t>.</w:t>
      </w:r>
      <w:r>
        <w:t>40.4</w:t>
      </w:r>
      <w:r w:rsidRPr="00D108FD">
        <w:t xml:space="preserve"> millones, a la Asociación Obras Sociales del Santo Hermano Pedro Frailes Franciscanos O. F. M. por </w:t>
      </w:r>
      <w:r>
        <w:t>Q</w:t>
      </w:r>
      <w:r w:rsidR="000771C4">
        <w:t>.</w:t>
      </w:r>
      <w:r w:rsidRPr="00D108FD">
        <w:t xml:space="preserve">20.0 millones, </w:t>
      </w:r>
      <w:r>
        <w:t>Fundación Ayúdame a Escuchar Barbara Nicolle con Q</w:t>
      </w:r>
      <w:r w:rsidR="000771C4">
        <w:t>.</w:t>
      </w:r>
      <w:r>
        <w:t xml:space="preserve">14.9 millones, </w:t>
      </w:r>
      <w:r w:rsidRPr="00D108FD">
        <w:t>a Saint Joseph Hospice Association (Asociación Hospicio de San José) por Q</w:t>
      </w:r>
      <w:r w:rsidR="000771C4">
        <w:t>.</w:t>
      </w:r>
      <w:r w:rsidRPr="00D108FD">
        <w:t>12.</w:t>
      </w:r>
      <w:r>
        <w:t>0</w:t>
      </w:r>
      <w:r w:rsidRPr="00D108FD">
        <w:t xml:space="preserve"> millones, a la Fundación Probienestar del Minusválido FUNDABIEM por </w:t>
      </w:r>
      <w:r>
        <w:t>Q</w:t>
      </w:r>
      <w:r w:rsidR="000771C4">
        <w:t>.</w:t>
      </w:r>
      <w:r w:rsidRPr="00D108FD">
        <w:t>12.</w:t>
      </w:r>
      <w:r>
        <w:t>0</w:t>
      </w:r>
      <w:r w:rsidRPr="00D108FD">
        <w:t xml:space="preserve"> millones, a la Organización Cristiana de Beneficio Social Esperanza de Vida ONG por </w:t>
      </w:r>
      <w:r>
        <w:t>Q</w:t>
      </w:r>
      <w:r w:rsidR="000771C4">
        <w:t>.</w:t>
      </w:r>
      <w:r>
        <w:t>20.0</w:t>
      </w:r>
      <w:r w:rsidRPr="00D108FD">
        <w:t xml:space="preserve"> millones, a la Cruz Roja Guatemalteca por </w:t>
      </w:r>
      <w:r>
        <w:t>Q</w:t>
      </w:r>
      <w:r w:rsidR="000771C4">
        <w:t>.</w:t>
      </w:r>
      <w:r w:rsidRPr="00D108FD">
        <w:t xml:space="preserve">12.0 millones, en tanto que al resto de entidades se les hicieron transferencias por debajo, </w:t>
      </w:r>
      <w:r>
        <w:t xml:space="preserve">según se </w:t>
      </w:r>
      <w:r w:rsidRPr="00D108FD">
        <w:t xml:space="preserve"> observa en el cuadro </w:t>
      </w:r>
      <w:r>
        <w:t>siguiente:</w:t>
      </w:r>
    </w:p>
    <w:p w:rsidR="00625719" w:rsidRDefault="00625719" w:rsidP="00625719">
      <w:pPr>
        <w:jc w:val="both"/>
      </w:pPr>
    </w:p>
    <w:p w:rsidR="000771C4" w:rsidRDefault="000771C4" w:rsidP="00625719">
      <w:pPr>
        <w:jc w:val="both"/>
      </w:pPr>
    </w:p>
    <w:p w:rsidR="000771C4" w:rsidRDefault="000771C4" w:rsidP="00625719">
      <w:pPr>
        <w:jc w:val="both"/>
      </w:pPr>
    </w:p>
    <w:p w:rsidR="000771C4" w:rsidRDefault="000771C4" w:rsidP="00625719">
      <w:pPr>
        <w:jc w:val="both"/>
      </w:pPr>
    </w:p>
    <w:p w:rsidR="000771C4" w:rsidRDefault="000771C4" w:rsidP="00625719">
      <w:pPr>
        <w:jc w:val="both"/>
      </w:pPr>
    </w:p>
    <w:p w:rsidR="00744C41" w:rsidRDefault="00744C41" w:rsidP="00625719">
      <w:pPr>
        <w:jc w:val="both"/>
      </w:pPr>
    </w:p>
    <w:p w:rsidR="00744C41" w:rsidRDefault="00744C41" w:rsidP="00625719">
      <w:pPr>
        <w:jc w:val="both"/>
      </w:pPr>
    </w:p>
    <w:p w:rsidR="000771C4" w:rsidRDefault="000771C4" w:rsidP="00625719">
      <w:pPr>
        <w:jc w:val="both"/>
      </w:pPr>
    </w:p>
    <w:p w:rsidR="00625719" w:rsidRDefault="00625719" w:rsidP="00625719">
      <w:pPr>
        <w:jc w:val="both"/>
        <w:rPr>
          <w:rFonts w:ascii="Calibri" w:eastAsia="Calibri" w:hAnsi="Calibri"/>
          <w:sz w:val="20"/>
          <w:szCs w:val="20"/>
          <w:lang w:val="es-GT" w:eastAsia="es-GT"/>
        </w:rPr>
      </w:pPr>
      <w:r>
        <w:rPr>
          <w:noProof/>
          <w:lang w:val="es-GT" w:eastAsia="es-GT"/>
        </w:rPr>
        <w:lastRenderedPageBreak/>
        <w:fldChar w:fldCharType="begin"/>
      </w:r>
      <w:r>
        <w:rPr>
          <w:noProof/>
          <w:lang w:val="es-GT" w:eastAsia="es-GT"/>
        </w:rPr>
        <w:instrText xml:space="preserve"> LINK Excel.Sheet.12 "C:\\Users\\deefoper12\\Documents\\Mis Documentos\\2020\\DTF\\memoria de labores 2019\\Soporte Salud para memoria.xlsx" "ONG salud!F15C3:F54C4" \a \f 4 \h  \* MERGEFORMAT </w:instrText>
      </w:r>
      <w:r>
        <w:rPr>
          <w:noProof/>
          <w:lang w:val="es-GT" w:eastAsia="es-GT"/>
        </w:rPr>
        <w:fldChar w:fldCharType="separate"/>
      </w:r>
    </w:p>
    <w:tbl>
      <w:tblPr>
        <w:tblW w:w="8420" w:type="dxa"/>
        <w:tblInd w:w="70" w:type="dxa"/>
        <w:tblCellMar>
          <w:left w:w="70" w:type="dxa"/>
          <w:right w:w="70" w:type="dxa"/>
        </w:tblCellMar>
        <w:tblLook w:val="04A0" w:firstRow="1" w:lastRow="0" w:firstColumn="1" w:lastColumn="0" w:noHBand="0" w:noVBand="1"/>
      </w:tblPr>
      <w:tblGrid>
        <w:gridCol w:w="6804"/>
        <w:gridCol w:w="1616"/>
      </w:tblGrid>
      <w:tr w:rsidR="00625719" w:rsidRPr="00EA0222" w:rsidTr="00F161D7">
        <w:trPr>
          <w:trHeight w:val="295"/>
        </w:trPr>
        <w:tc>
          <w:tcPr>
            <w:tcW w:w="6804" w:type="dxa"/>
            <w:tcBorders>
              <w:top w:val="single" w:sz="8" w:space="0" w:color="auto"/>
              <w:left w:val="single" w:sz="8" w:space="0" w:color="auto"/>
              <w:bottom w:val="single" w:sz="4" w:space="0" w:color="auto"/>
              <w:right w:val="single" w:sz="4" w:space="0" w:color="auto"/>
            </w:tcBorders>
            <w:shd w:val="clear" w:color="000000" w:fill="9BC2E6"/>
            <w:noWrap/>
            <w:hideMark/>
          </w:tcPr>
          <w:p w:rsidR="00625719" w:rsidRPr="00EA0222" w:rsidRDefault="00625719" w:rsidP="00F161D7">
            <w:pPr>
              <w:jc w:val="center"/>
              <w:rPr>
                <w:b/>
                <w:bCs/>
                <w:color w:val="000000"/>
                <w:sz w:val="18"/>
                <w:szCs w:val="18"/>
                <w:lang w:val="es-GT" w:eastAsia="es-GT"/>
              </w:rPr>
            </w:pPr>
            <w:r w:rsidRPr="00EA0222">
              <w:rPr>
                <w:b/>
                <w:bCs/>
                <w:color w:val="000000"/>
                <w:sz w:val="18"/>
                <w:szCs w:val="18"/>
                <w:lang w:val="es-GT" w:eastAsia="es-GT"/>
              </w:rPr>
              <w:t>DESCRIPCION</w:t>
            </w:r>
          </w:p>
        </w:tc>
        <w:tc>
          <w:tcPr>
            <w:tcW w:w="1616" w:type="dxa"/>
            <w:tcBorders>
              <w:top w:val="single" w:sz="8" w:space="0" w:color="auto"/>
              <w:left w:val="nil"/>
              <w:bottom w:val="single" w:sz="4" w:space="0" w:color="auto"/>
              <w:right w:val="single" w:sz="8" w:space="0" w:color="auto"/>
            </w:tcBorders>
            <w:shd w:val="clear" w:color="000000" w:fill="9BC2E6"/>
            <w:noWrap/>
            <w:hideMark/>
          </w:tcPr>
          <w:p w:rsidR="00625719" w:rsidRPr="00EA0222" w:rsidRDefault="00625719" w:rsidP="00F161D7">
            <w:pPr>
              <w:jc w:val="center"/>
              <w:rPr>
                <w:b/>
                <w:bCs/>
                <w:color w:val="000000"/>
                <w:sz w:val="18"/>
                <w:szCs w:val="18"/>
                <w:lang w:val="es-GT" w:eastAsia="es-GT"/>
              </w:rPr>
            </w:pPr>
            <w:r w:rsidRPr="00EA0222">
              <w:rPr>
                <w:b/>
                <w:bCs/>
                <w:color w:val="000000"/>
                <w:sz w:val="18"/>
                <w:szCs w:val="18"/>
                <w:lang w:val="es-GT" w:eastAsia="es-GT"/>
              </w:rPr>
              <w:t>Ejecución</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rPr>
                <w:b/>
                <w:bCs/>
                <w:color w:val="000000"/>
                <w:sz w:val="12"/>
                <w:szCs w:val="18"/>
                <w:lang w:val="es-GT" w:eastAsia="es-GT"/>
              </w:rPr>
            </w:pPr>
            <w:r w:rsidRPr="00EA0222">
              <w:rPr>
                <w:b/>
                <w:bCs/>
                <w:color w:val="000000"/>
                <w:sz w:val="12"/>
                <w:szCs w:val="18"/>
                <w:lang w:val="es-GT" w:eastAsia="es-GT"/>
              </w:rPr>
              <w:t>Partidas no Asignables a Programas</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b/>
                <w:bCs/>
                <w:color w:val="000000"/>
                <w:sz w:val="12"/>
                <w:szCs w:val="18"/>
                <w:lang w:val="es-GT" w:eastAsia="es-GT"/>
              </w:rPr>
            </w:pPr>
            <w:r w:rsidRPr="00EA0222">
              <w:rPr>
                <w:b/>
                <w:bCs/>
                <w:color w:val="000000"/>
                <w:sz w:val="12"/>
                <w:szCs w:val="18"/>
                <w:lang w:val="es-GT" w:eastAsia="es-GT"/>
              </w:rPr>
              <w:t>568.9</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UNIDAD NACIONAL DE ATENCIÓN AL ENFERMO RENAL CRÓNICO UNAERC</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230.0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UNIDAD DE CIRUGÍA CARDIOVASCULAR DE GUATEMALA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62.3</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UNIDAD NACIONAL DE ONCOLOGÍA PEDIÁTRICA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57.0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LIGA NACIONAL CONTRA EL CÁNCER</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40.4</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ASOCIACIÓN OBRAS SOCIALES DEL SANTO HERMANO PEDRO FRAILES FRANCISCANOS O.F.M.</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20.0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ORGANIZACIÓN CRISTIANA DE BENEFICIO SOCIAL ESPERANZA DE VIDA ONG</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20.0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FUNDACIÓN AYÚDAME A ESCUCHAR BÁRBARA NICOLLE</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14.9</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CRUZ ROJA GUATEMALTECA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12.0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FUNDACIÓN PROBIENESTAR DEL MINUSVÁLIDO Y/O FUNDABIEM</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12.0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317796" w:rsidRDefault="00625719" w:rsidP="00F161D7">
            <w:pPr>
              <w:ind w:firstLineChars="200" w:firstLine="240"/>
              <w:rPr>
                <w:color w:val="000000"/>
                <w:sz w:val="12"/>
                <w:szCs w:val="18"/>
                <w:lang w:val="en-US" w:eastAsia="es-GT"/>
              </w:rPr>
            </w:pPr>
            <w:r w:rsidRPr="00317796">
              <w:rPr>
                <w:color w:val="000000"/>
                <w:sz w:val="12"/>
                <w:szCs w:val="18"/>
                <w:lang w:val="en-US" w:eastAsia="es-GT"/>
              </w:rPr>
              <w:t>SAINT JOSEPH S HOSPICE ASSOCIATION (ASOCIACIÓN HOSPICIO DE SAN JOSE)</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12.0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FUNDACIÓN GUATEMALTECO AMERICANA DE CIRUGÍA ORTOPÉDICA AVANZADA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11.0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FUNDACIÓN DE ASISTENCIA SOCIAL DE LA IGLESIA CATÓLICA DE LA ARQUIDIÓCESIS DE GUATEMALA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9.0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FUNDACIÓN DE ASISTENCIA MÉDICA Y OCUPACIONAL PARA LA RECUPERACIÓN DEL ENFERMO RENAL</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8.0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FUNDACIÓN MARGARITA TEJADA PARA NIÑOS CON SÍNDROME DE DOWN</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7.0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Unidad de Oftalmología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5.0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INSTITUTO PARA LA INVESTIGACIÓN CIENTÍFICA Y LA EDUCACIÓN ACERCA DE LAS ENFERMEDADES GENÉTICAS Y METABÓLICAS HUMANAS / ROZAS BOTRÁN ONG</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5.0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EL REFUGIO DE LA NIÑEZ (ONG)</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4.7</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FUNDACIÓN RED DE SOBREVIVIENTES DE VIOLENCIA DOMÉSTICA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4.5</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LIGA GUATEMALTECA CONTRA LAS ENFERMEDADES DEL CORAZÓN</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4.0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FUNDACIÓN ALDO CASTAÑEDA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3.6</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ASOCIACIÓN HUMANA ONG</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3.2</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FUNDACIÓN DE ESPECIALIDADES MATERNO INFANTIL</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3.0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INSTITUTO NEUROLÓGICO DE GUATEMALA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2.5</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FUNDACIÓN GUATEMALTECA DE TRASPLANTE HEPÁTICO</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2.5</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Oficina Sanitaria Panamericana (OPS)</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2.3</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FUNDACIÓN GUATEMALTECA PARA NIÑOS CON SORDOCEGUERA ALEX</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2.0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PATRONATO DE ACCIÓN CONTRA LA LEPRA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1.5</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ASOCIACIÓN DE DESARROLLO INTEGRAL Y SEGURIDAD FAMILIAR</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1.2</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ASOCIACIÓN DE SEÑORAS DE LA CARIDAD DE SAN VICENTE DE PAUL</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ASOCIACIÓN NACIONAL DE SORDOS DE GUATEMALA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CLUB DE LEONES DE GUATEMALA, CENTROAMÉRICA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ASOCIACIÓN "HERMANA TIERRA" O.N.L.U.S.</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INSTANCIA COORDINADORA DE ACCIONES POLÍTICAS POR LA SALUD Y EL DESARROLLO DE LAS MUJERES ONG</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ASOCIACIÓN CIVIL MINISTERIO SHADAI NUEVA FAMILIA</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1.0</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INSTITUTO DE NUTRICIÓN DE CENTROAMÉRICA Y PANAMÁ (INCAP)</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0.9</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MISIONEROS DE SAN CARLOS SCALABRINIANOS</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0.6</w:t>
            </w:r>
          </w:p>
        </w:tc>
      </w:tr>
      <w:tr w:rsidR="00625719" w:rsidRPr="00EA0222" w:rsidTr="00F161D7">
        <w:trPr>
          <w:trHeight w:val="295"/>
        </w:trPr>
        <w:tc>
          <w:tcPr>
            <w:tcW w:w="6804" w:type="dxa"/>
            <w:tcBorders>
              <w:top w:val="nil"/>
              <w:left w:val="single" w:sz="8" w:space="0" w:color="auto"/>
              <w:bottom w:val="nil"/>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ASOCIACIÓN HOSPITAL DE LA FAMILIA SAN MARCOS</w:t>
            </w:r>
          </w:p>
        </w:tc>
        <w:tc>
          <w:tcPr>
            <w:tcW w:w="1616" w:type="dxa"/>
            <w:tcBorders>
              <w:top w:val="nil"/>
              <w:left w:val="nil"/>
              <w:bottom w:val="nil"/>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0.5</w:t>
            </w:r>
          </w:p>
        </w:tc>
      </w:tr>
      <w:tr w:rsidR="00625719" w:rsidRPr="00EA0222" w:rsidTr="00F161D7">
        <w:trPr>
          <w:trHeight w:val="295"/>
        </w:trPr>
        <w:tc>
          <w:tcPr>
            <w:tcW w:w="6804" w:type="dxa"/>
            <w:tcBorders>
              <w:top w:val="nil"/>
              <w:left w:val="single" w:sz="8" w:space="0" w:color="auto"/>
              <w:bottom w:val="single" w:sz="8" w:space="0" w:color="auto"/>
              <w:right w:val="single" w:sz="4" w:space="0" w:color="auto"/>
            </w:tcBorders>
            <w:shd w:val="clear" w:color="000000" w:fill="FFFFFF"/>
            <w:noWrap/>
            <w:hideMark/>
          </w:tcPr>
          <w:p w:rsidR="00625719" w:rsidRPr="00EA0222" w:rsidRDefault="00625719" w:rsidP="00F161D7">
            <w:pPr>
              <w:ind w:firstLineChars="200" w:firstLine="240"/>
              <w:rPr>
                <w:color w:val="000000"/>
                <w:sz w:val="12"/>
                <w:szCs w:val="18"/>
                <w:lang w:val="es-GT" w:eastAsia="es-GT"/>
              </w:rPr>
            </w:pPr>
            <w:r w:rsidRPr="00EA0222">
              <w:rPr>
                <w:color w:val="000000"/>
                <w:sz w:val="12"/>
                <w:szCs w:val="18"/>
                <w:lang w:val="es-GT" w:eastAsia="es-GT"/>
              </w:rPr>
              <w:t>SECRETARÍA DE INTEGRACIÓN CENTROAMERICANA (SICA)</w:t>
            </w:r>
          </w:p>
        </w:tc>
        <w:tc>
          <w:tcPr>
            <w:tcW w:w="1616" w:type="dxa"/>
            <w:tcBorders>
              <w:top w:val="nil"/>
              <w:left w:val="nil"/>
              <w:bottom w:val="single" w:sz="8" w:space="0" w:color="auto"/>
              <w:right w:val="single" w:sz="8" w:space="0" w:color="auto"/>
            </w:tcBorders>
            <w:shd w:val="clear" w:color="000000" w:fill="FFFFFF"/>
            <w:noWrap/>
            <w:vAlign w:val="center"/>
            <w:hideMark/>
          </w:tcPr>
          <w:p w:rsidR="00625719" w:rsidRPr="00EA0222" w:rsidRDefault="00625719" w:rsidP="00F161D7">
            <w:pPr>
              <w:jc w:val="center"/>
              <w:rPr>
                <w:color w:val="000000"/>
                <w:sz w:val="12"/>
                <w:szCs w:val="18"/>
                <w:lang w:val="es-GT" w:eastAsia="es-GT"/>
              </w:rPr>
            </w:pPr>
            <w:r w:rsidRPr="00EA0222">
              <w:rPr>
                <w:color w:val="000000"/>
                <w:sz w:val="12"/>
                <w:szCs w:val="18"/>
                <w:lang w:val="es-GT" w:eastAsia="es-GT"/>
              </w:rPr>
              <w:t>0.3</w:t>
            </w: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Pr="00D108FD" w:rsidRDefault="00625719" w:rsidP="00625719">
      <w:pPr>
        <w:jc w:val="both"/>
      </w:pPr>
    </w:p>
    <w:p w:rsidR="0083797F" w:rsidRDefault="0083797F" w:rsidP="00625719">
      <w:pPr>
        <w:jc w:val="both"/>
      </w:pPr>
    </w:p>
    <w:p w:rsidR="00625719" w:rsidRDefault="00625719" w:rsidP="00625719">
      <w:pPr>
        <w:jc w:val="both"/>
      </w:pPr>
      <w:r w:rsidRPr="00D108FD">
        <w:t xml:space="preserve">Seguidamente se ubica el programa “Prevención de la Mortalidad Materna Neonatal” con un presupuesto de </w:t>
      </w:r>
      <w:r>
        <w:t>Q</w:t>
      </w:r>
      <w:r w:rsidR="000771C4">
        <w:t>.</w:t>
      </w:r>
      <w:r>
        <w:t>4</w:t>
      </w:r>
      <w:r w:rsidRPr="00D108FD">
        <w:t>92.</w:t>
      </w:r>
      <w:r>
        <w:t>2</w:t>
      </w:r>
      <w:r w:rsidRPr="00D108FD">
        <w:t xml:space="preserve"> millones y una ejecución presupuestaria de </w:t>
      </w:r>
      <w:r>
        <w:t>Q</w:t>
      </w:r>
      <w:r w:rsidR="000771C4">
        <w:t>.</w:t>
      </w:r>
      <w:r>
        <w:t>394.2</w:t>
      </w:r>
      <w:r w:rsidRPr="00D108FD">
        <w:t xml:space="preserve"> millones equivalente al </w:t>
      </w:r>
      <w:r>
        <w:t>8</w:t>
      </w:r>
      <w:r w:rsidR="000771C4">
        <w:t>0</w:t>
      </w:r>
      <w:r>
        <w:t>.1</w:t>
      </w:r>
      <w:r w:rsidRPr="00D108FD">
        <w:t>%.</w:t>
      </w:r>
    </w:p>
    <w:p w:rsidR="00625719" w:rsidRDefault="00625719" w:rsidP="00625719">
      <w:pPr>
        <w:jc w:val="both"/>
      </w:pPr>
    </w:p>
    <w:p w:rsidR="00625719" w:rsidRDefault="00625719" w:rsidP="00625719">
      <w:pPr>
        <w:jc w:val="both"/>
      </w:pPr>
      <w:r>
        <w:t>E</w:t>
      </w:r>
      <w:r w:rsidRPr="00D108FD">
        <w:t>l programa de “Administración Institucional” con un presupuesto</w:t>
      </w:r>
      <w:r>
        <w:t xml:space="preserve"> aprobado</w:t>
      </w:r>
      <w:r w:rsidRPr="00D108FD">
        <w:t xml:space="preserve"> de </w:t>
      </w:r>
      <w:r>
        <w:t>Q</w:t>
      </w:r>
      <w:r w:rsidR="000771C4">
        <w:t>.</w:t>
      </w:r>
      <w:r w:rsidRPr="00D108FD">
        <w:t>3</w:t>
      </w:r>
      <w:r>
        <w:t>50.8</w:t>
      </w:r>
      <w:r w:rsidRPr="00D108FD">
        <w:t xml:space="preserve"> millones, una ejecución presupuestaria de </w:t>
      </w:r>
      <w:r>
        <w:t>Q</w:t>
      </w:r>
      <w:r w:rsidR="000771C4">
        <w:t>.</w:t>
      </w:r>
      <w:r>
        <w:t>422</w:t>
      </w:r>
      <w:r w:rsidRPr="00D108FD">
        <w:t xml:space="preserve">.6 millones equivalente al </w:t>
      </w:r>
      <w:r>
        <w:t>120.5</w:t>
      </w:r>
      <w:r w:rsidRPr="00D108FD">
        <w:t>%</w:t>
      </w:r>
      <w:r>
        <w:t>.</w:t>
      </w:r>
    </w:p>
    <w:p w:rsidR="00625719" w:rsidRPr="00D108FD" w:rsidRDefault="00625719" w:rsidP="00625719">
      <w:pPr>
        <w:jc w:val="both"/>
      </w:pPr>
    </w:p>
    <w:p w:rsidR="00625719" w:rsidRDefault="00625719" w:rsidP="00625719">
      <w:pPr>
        <w:jc w:val="both"/>
      </w:pPr>
      <w:r w:rsidRPr="00D108FD">
        <w:t xml:space="preserve">Se observa también el programa “Servicio de Formación del Recurso Humano” con un presupuesto de </w:t>
      </w:r>
      <w:r>
        <w:t>Q</w:t>
      </w:r>
      <w:r w:rsidR="000771C4">
        <w:t>.</w:t>
      </w:r>
      <w:r w:rsidRPr="00D108FD">
        <w:t>24</w:t>
      </w:r>
      <w:r>
        <w:t>3.</w:t>
      </w:r>
      <w:r w:rsidRPr="00D108FD">
        <w:t xml:space="preserve">5 millones, una ejecución de </w:t>
      </w:r>
      <w:r>
        <w:t>Q</w:t>
      </w:r>
      <w:r w:rsidR="000771C4">
        <w:t>.</w:t>
      </w:r>
      <w:r>
        <w:t>357.</w:t>
      </w:r>
      <w:r w:rsidRPr="00D108FD">
        <w:t xml:space="preserve">6 millones equivalente al </w:t>
      </w:r>
      <w:r>
        <w:t>14</w:t>
      </w:r>
      <w:r w:rsidRPr="00D108FD">
        <w:t>6.</w:t>
      </w:r>
      <w:r>
        <w:t>8</w:t>
      </w:r>
      <w:r w:rsidRPr="00D108FD">
        <w:t>%</w:t>
      </w:r>
      <w:r>
        <w:t>.</w:t>
      </w:r>
    </w:p>
    <w:p w:rsidR="00625719" w:rsidRPr="00D108FD" w:rsidRDefault="00625719" w:rsidP="00625719">
      <w:pPr>
        <w:jc w:val="both"/>
      </w:pPr>
    </w:p>
    <w:p w:rsidR="00625719" w:rsidRDefault="00625719" w:rsidP="00625719">
      <w:pPr>
        <w:jc w:val="both"/>
      </w:pPr>
      <w:r w:rsidRPr="00D108FD">
        <w:t xml:space="preserve">Dentro de los prioritarios se ubica finalmente el programa “Prevención y control de las Enfermedades Vectoriales y Zoonóticas” con un presupuesto de </w:t>
      </w:r>
      <w:r>
        <w:t>Q</w:t>
      </w:r>
      <w:r w:rsidR="000771C4">
        <w:t>.</w:t>
      </w:r>
      <w:r w:rsidRPr="00D108FD">
        <w:t>1</w:t>
      </w:r>
      <w:r>
        <w:t>88.0</w:t>
      </w:r>
      <w:r w:rsidRPr="00D108FD">
        <w:t xml:space="preserve"> millones y una ejecución presupuestaria de </w:t>
      </w:r>
      <w:r>
        <w:t>Q</w:t>
      </w:r>
      <w:r w:rsidR="000771C4">
        <w:t>.</w:t>
      </w:r>
      <w:r w:rsidRPr="00D108FD">
        <w:t>1</w:t>
      </w:r>
      <w:r>
        <w:t>8</w:t>
      </w:r>
      <w:r w:rsidRPr="00D108FD">
        <w:t xml:space="preserve">5.5 millones equivalente al </w:t>
      </w:r>
      <w:r>
        <w:t>9</w:t>
      </w:r>
      <w:r w:rsidRPr="00D108FD">
        <w:t>8.7%</w:t>
      </w:r>
      <w:r>
        <w:t xml:space="preserve">. </w:t>
      </w:r>
      <w:r w:rsidRPr="00D108FD">
        <w:t xml:space="preserve">Finalmente se encuentran </w:t>
      </w:r>
      <w:r>
        <w:t>4</w:t>
      </w:r>
      <w:r w:rsidRPr="00D108FD">
        <w:t xml:space="preserve"> programas con una ejecución por debajo de los </w:t>
      </w:r>
      <w:r>
        <w:t>Q</w:t>
      </w:r>
      <w:r w:rsidR="000771C4">
        <w:t>.</w:t>
      </w:r>
      <w:r>
        <w:t>100</w:t>
      </w:r>
      <w:r w:rsidRPr="00D108FD">
        <w:t>.0 millones los cuales se detallan en el cuadro siguiente.</w:t>
      </w:r>
    </w:p>
    <w:p w:rsidR="00625719" w:rsidRPr="00D108FD" w:rsidRDefault="00625719" w:rsidP="00625719">
      <w:pPr>
        <w:jc w:val="both"/>
      </w:pP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Programa!F70C2:F83C6" \a \f 4 \h  \* MERGEFORMAT </w:instrText>
      </w:r>
      <w:r>
        <w:rPr>
          <w:noProof/>
          <w:lang w:val="es-GT" w:eastAsia="es-GT"/>
        </w:rPr>
        <w:fldChar w:fldCharType="separate"/>
      </w:r>
    </w:p>
    <w:tbl>
      <w:tblPr>
        <w:tblW w:w="9356" w:type="dxa"/>
        <w:tblInd w:w="70" w:type="dxa"/>
        <w:tblCellMar>
          <w:left w:w="70" w:type="dxa"/>
          <w:right w:w="70" w:type="dxa"/>
        </w:tblCellMar>
        <w:tblLook w:val="04A0" w:firstRow="1" w:lastRow="0" w:firstColumn="1" w:lastColumn="0" w:noHBand="0" w:noVBand="1"/>
      </w:tblPr>
      <w:tblGrid>
        <w:gridCol w:w="5529"/>
        <w:gridCol w:w="992"/>
        <w:gridCol w:w="992"/>
        <w:gridCol w:w="992"/>
        <w:gridCol w:w="851"/>
      </w:tblGrid>
      <w:tr w:rsidR="00625719" w:rsidRPr="00F71ABE" w:rsidTr="00B45D20">
        <w:trPr>
          <w:trHeight w:val="300"/>
        </w:trPr>
        <w:tc>
          <w:tcPr>
            <w:tcW w:w="5529"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F71ABE" w:rsidRDefault="00625719" w:rsidP="00F161D7">
            <w:pPr>
              <w:jc w:val="center"/>
              <w:rPr>
                <w:b/>
                <w:bCs/>
                <w:color w:val="000000"/>
                <w:sz w:val="12"/>
                <w:szCs w:val="20"/>
                <w:lang w:val="es-GT" w:eastAsia="es-GT"/>
              </w:rPr>
            </w:pPr>
            <w:r w:rsidRPr="00F71ABE">
              <w:rPr>
                <w:b/>
                <w:bCs/>
                <w:color w:val="000000"/>
                <w:sz w:val="12"/>
                <w:szCs w:val="20"/>
                <w:lang w:val="es-GT" w:eastAsia="es-GT"/>
              </w:rPr>
              <w:t>DESCRIPCION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625719" w:rsidRPr="00F71ABE" w:rsidRDefault="00625719" w:rsidP="00F161D7">
            <w:pPr>
              <w:jc w:val="center"/>
              <w:rPr>
                <w:b/>
                <w:bCs/>
                <w:color w:val="000000"/>
                <w:sz w:val="12"/>
                <w:szCs w:val="20"/>
                <w:lang w:val="es-GT" w:eastAsia="es-GT"/>
              </w:rPr>
            </w:pPr>
            <w:r w:rsidRPr="00F71ABE">
              <w:rPr>
                <w:b/>
                <w:bCs/>
                <w:color w:val="000000"/>
                <w:sz w:val="12"/>
                <w:szCs w:val="20"/>
                <w:lang w:val="es-GT" w:eastAsia="es-GT"/>
              </w:rPr>
              <w:t>ASIGNADO</w:t>
            </w:r>
          </w:p>
        </w:tc>
        <w:tc>
          <w:tcPr>
            <w:tcW w:w="992" w:type="dxa"/>
            <w:tcBorders>
              <w:top w:val="single" w:sz="8" w:space="0" w:color="auto"/>
              <w:left w:val="nil"/>
              <w:bottom w:val="single" w:sz="4" w:space="0" w:color="auto"/>
              <w:right w:val="single" w:sz="4" w:space="0" w:color="auto"/>
            </w:tcBorders>
            <w:shd w:val="clear" w:color="000000" w:fill="8DB4E2"/>
            <w:noWrap/>
            <w:hideMark/>
          </w:tcPr>
          <w:p w:rsidR="00625719" w:rsidRPr="00F71ABE" w:rsidRDefault="00625719" w:rsidP="00F161D7">
            <w:pPr>
              <w:jc w:val="center"/>
              <w:rPr>
                <w:b/>
                <w:bCs/>
                <w:color w:val="000000"/>
                <w:sz w:val="12"/>
                <w:szCs w:val="20"/>
                <w:lang w:val="es-GT" w:eastAsia="es-GT"/>
              </w:rPr>
            </w:pPr>
            <w:r w:rsidRPr="00F71ABE">
              <w:rPr>
                <w:b/>
                <w:bCs/>
                <w:color w:val="000000"/>
                <w:sz w:val="12"/>
                <w:szCs w:val="20"/>
                <w:lang w:val="es-GT" w:eastAsia="es-GT"/>
              </w:rPr>
              <w:t>EJECUCIÓN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625719" w:rsidRPr="00F71ABE" w:rsidRDefault="00625719" w:rsidP="00F161D7">
            <w:pPr>
              <w:jc w:val="center"/>
              <w:rPr>
                <w:b/>
                <w:bCs/>
                <w:color w:val="000000"/>
                <w:sz w:val="12"/>
                <w:szCs w:val="20"/>
                <w:lang w:val="es-GT" w:eastAsia="es-GT"/>
              </w:rPr>
            </w:pPr>
            <w:r w:rsidRPr="00F71ABE">
              <w:rPr>
                <w:b/>
                <w:bCs/>
                <w:color w:val="000000"/>
                <w:sz w:val="12"/>
                <w:szCs w:val="20"/>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hideMark/>
          </w:tcPr>
          <w:p w:rsidR="00625719" w:rsidRPr="00F71ABE" w:rsidRDefault="00625719" w:rsidP="00F161D7">
            <w:pPr>
              <w:jc w:val="center"/>
              <w:rPr>
                <w:b/>
                <w:bCs/>
                <w:color w:val="000000"/>
                <w:sz w:val="12"/>
                <w:szCs w:val="20"/>
                <w:lang w:val="es-GT" w:eastAsia="es-GT"/>
              </w:rPr>
            </w:pPr>
            <w:r w:rsidRPr="00F71ABE">
              <w:rPr>
                <w:b/>
                <w:bCs/>
                <w:color w:val="000000"/>
                <w:sz w:val="12"/>
                <w:szCs w:val="20"/>
                <w:lang w:val="es-GT" w:eastAsia="es-GT"/>
              </w:rPr>
              <w:t>% Ejec</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rPr>
                <w:b/>
                <w:bCs/>
                <w:color w:val="333333"/>
                <w:sz w:val="12"/>
                <w:szCs w:val="20"/>
                <w:lang w:val="es-GT" w:eastAsia="es-GT"/>
              </w:rPr>
            </w:pPr>
            <w:r w:rsidRPr="00F71ABE">
              <w:rPr>
                <w:b/>
                <w:bCs/>
                <w:color w:val="333333"/>
                <w:sz w:val="12"/>
                <w:szCs w:val="20"/>
                <w:lang w:val="es-GT" w:eastAsia="es-GT"/>
              </w:rPr>
              <w:t>MINISTERIO DE SALUD PÚBLICA Y ASISTENCIA SOCIAL</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b/>
                <w:bCs/>
                <w:color w:val="333333"/>
                <w:sz w:val="12"/>
                <w:szCs w:val="20"/>
                <w:lang w:val="es-GT" w:eastAsia="es-GT"/>
              </w:rPr>
            </w:pPr>
            <w:r w:rsidRPr="00F71ABE">
              <w:rPr>
                <w:b/>
                <w:bCs/>
                <w:color w:val="333333"/>
                <w:sz w:val="12"/>
                <w:szCs w:val="20"/>
                <w:lang w:val="es-GT" w:eastAsia="es-GT"/>
              </w:rPr>
              <w:t>8,197.2</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b/>
                <w:bCs/>
                <w:color w:val="333333"/>
                <w:sz w:val="12"/>
                <w:szCs w:val="20"/>
                <w:lang w:val="es-GT" w:eastAsia="es-GT"/>
              </w:rPr>
            </w:pPr>
            <w:r w:rsidRPr="00F71ABE">
              <w:rPr>
                <w:b/>
                <w:bCs/>
                <w:color w:val="333333"/>
                <w:sz w:val="12"/>
                <w:szCs w:val="20"/>
                <w:lang w:val="es-GT" w:eastAsia="es-GT"/>
              </w:rPr>
              <w:t>7,895.6</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b/>
                <w:bCs/>
                <w:color w:val="333333"/>
                <w:sz w:val="12"/>
                <w:szCs w:val="20"/>
                <w:lang w:val="es-GT" w:eastAsia="es-GT"/>
              </w:rPr>
            </w:pPr>
            <w:r w:rsidRPr="00F71ABE">
              <w:rPr>
                <w:b/>
                <w:bCs/>
                <w:color w:val="333333"/>
                <w:sz w:val="12"/>
                <w:szCs w:val="20"/>
                <w:lang w:val="es-GT" w:eastAsia="es-GT"/>
              </w:rPr>
              <w:t>301.6</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b/>
                <w:bCs/>
                <w:color w:val="333333"/>
                <w:sz w:val="12"/>
                <w:szCs w:val="20"/>
                <w:lang w:val="es-GT" w:eastAsia="es-GT"/>
              </w:rPr>
            </w:pPr>
            <w:r w:rsidRPr="00F71ABE">
              <w:rPr>
                <w:b/>
                <w:bCs/>
                <w:color w:val="333333"/>
                <w:sz w:val="12"/>
                <w:szCs w:val="20"/>
                <w:lang w:val="es-GT" w:eastAsia="es-GT"/>
              </w:rPr>
              <w:t>96.3%</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RECUPERACIÓN DE LA SALUD</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4,173.1</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3,679.2</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493.9</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88.2%</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FOMENTO DE LA SALUD Y MEDICINA PREVENTIVA</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957.7</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1,255.4</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-297.7</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131.1%</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PREVENCIÓN DE LA MORTALIDAD DE LA NIÑEZ Y DE LA DESNUTRICIÓN CRÓNICA</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1,040.4</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858.2</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182.2</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82.5%</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PARTIDAS NO ASIGNABLES A PROGRAMAS</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520.9</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568.9</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-48.0</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109.2%</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ADMINISTRACIÓN INSTITUCIONAL</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350.8</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422.6</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-71.8</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120.5%</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PREVENCIÓN DE LA MORTALIDAD MATERNA Y NEONATAL</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492.2</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394.2</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98.0</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80.1%</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SERVICIO DE FORMACIÓN DEL RECURSO HUMANO</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243.5</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357.6</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-114.1</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146.8%</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PREVENCIÓN Y CONTROL DE LAS ENFERMEDADES VECTORIALES Y ZOONÓTICAS</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188.0</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185.5</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2.5</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98.7%</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PREVENCIÓN Y CONTROL DE ITS, VIH/SIDA</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117.3</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96.6</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20.7</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82.3%</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INFRAESTRUCTURA EN SALUD</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76.1</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54.2</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21.8</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71.3%</w:t>
            </w:r>
          </w:p>
        </w:tc>
      </w:tr>
      <w:tr w:rsidR="00625719" w:rsidRPr="00F71ABE" w:rsidTr="00B45D20">
        <w:trPr>
          <w:trHeight w:val="300"/>
        </w:trPr>
        <w:tc>
          <w:tcPr>
            <w:tcW w:w="5529" w:type="dxa"/>
            <w:tcBorders>
              <w:top w:val="nil"/>
              <w:left w:val="single" w:sz="8" w:space="0" w:color="auto"/>
              <w:bottom w:val="nil"/>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PREVENCIÓN Y CONTROL DE LA TUBERCULOSIS</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37.1</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21.8</w:t>
            </w:r>
          </w:p>
        </w:tc>
        <w:tc>
          <w:tcPr>
            <w:tcW w:w="992" w:type="dxa"/>
            <w:tcBorders>
              <w:top w:val="nil"/>
              <w:left w:val="nil"/>
              <w:bottom w:val="nil"/>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15.4</w:t>
            </w:r>
          </w:p>
        </w:tc>
        <w:tc>
          <w:tcPr>
            <w:tcW w:w="851" w:type="dxa"/>
            <w:tcBorders>
              <w:top w:val="nil"/>
              <w:left w:val="nil"/>
              <w:bottom w:val="nil"/>
              <w:right w:val="single" w:sz="8"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58.6%</w:t>
            </w:r>
          </w:p>
        </w:tc>
      </w:tr>
      <w:tr w:rsidR="00625719" w:rsidRPr="00F71ABE" w:rsidTr="00B45D20">
        <w:trPr>
          <w:trHeight w:val="315"/>
        </w:trPr>
        <w:tc>
          <w:tcPr>
            <w:tcW w:w="5529" w:type="dxa"/>
            <w:tcBorders>
              <w:top w:val="nil"/>
              <w:left w:val="single" w:sz="8" w:space="0" w:color="auto"/>
              <w:bottom w:val="single" w:sz="8" w:space="0" w:color="auto"/>
              <w:right w:val="single" w:sz="4" w:space="0" w:color="auto"/>
            </w:tcBorders>
            <w:shd w:val="clear" w:color="FFFFFF" w:fill="FFFFFF"/>
            <w:noWrap/>
            <w:vAlign w:val="bottom"/>
            <w:hideMark/>
          </w:tcPr>
          <w:p w:rsidR="00625719" w:rsidRPr="00F71ABE" w:rsidRDefault="00625719" w:rsidP="00F161D7">
            <w:pPr>
              <w:ind w:firstLineChars="200" w:firstLine="240"/>
              <w:rPr>
                <w:color w:val="333333"/>
                <w:sz w:val="12"/>
                <w:szCs w:val="20"/>
                <w:lang w:val="es-GT" w:eastAsia="es-GT"/>
              </w:rPr>
            </w:pPr>
            <w:r w:rsidRPr="00F71ABE">
              <w:rPr>
                <w:color w:val="333333"/>
                <w:sz w:val="12"/>
                <w:szCs w:val="20"/>
                <w:lang w:val="es-GT" w:eastAsia="es-GT"/>
              </w:rPr>
              <w:t>RECONSTRUCCIÓN JL7</w:t>
            </w:r>
          </w:p>
        </w:tc>
        <w:tc>
          <w:tcPr>
            <w:tcW w:w="992"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0.0</w:t>
            </w:r>
          </w:p>
        </w:tc>
        <w:tc>
          <w:tcPr>
            <w:tcW w:w="992" w:type="dxa"/>
            <w:tcBorders>
              <w:top w:val="nil"/>
              <w:left w:val="nil"/>
              <w:bottom w:val="single" w:sz="8" w:space="0" w:color="auto"/>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1.5</w:t>
            </w:r>
          </w:p>
        </w:tc>
        <w:tc>
          <w:tcPr>
            <w:tcW w:w="992"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F71ABE" w:rsidRDefault="00625719" w:rsidP="00F161D7">
            <w:pPr>
              <w:jc w:val="right"/>
              <w:rPr>
                <w:color w:val="333333"/>
                <w:sz w:val="12"/>
                <w:szCs w:val="20"/>
                <w:lang w:val="es-GT" w:eastAsia="es-GT"/>
              </w:rPr>
            </w:pPr>
            <w:r w:rsidRPr="00F71ABE">
              <w:rPr>
                <w:color w:val="333333"/>
                <w:sz w:val="12"/>
                <w:szCs w:val="20"/>
                <w:lang w:val="es-GT" w:eastAsia="es-GT"/>
              </w:rPr>
              <w:t>-1.5</w:t>
            </w:r>
          </w:p>
        </w:tc>
        <w:tc>
          <w:tcPr>
            <w:tcW w:w="851" w:type="dxa"/>
            <w:tcBorders>
              <w:top w:val="nil"/>
              <w:left w:val="single" w:sz="4" w:space="0" w:color="auto"/>
              <w:bottom w:val="single" w:sz="8" w:space="0" w:color="auto"/>
              <w:right w:val="single" w:sz="8" w:space="0" w:color="auto"/>
            </w:tcBorders>
            <w:shd w:val="clear" w:color="FFFFFF" w:fill="FFFFFF"/>
            <w:noWrap/>
            <w:vAlign w:val="bottom"/>
            <w:hideMark/>
          </w:tcPr>
          <w:p w:rsidR="00625719" w:rsidRPr="00F71ABE" w:rsidRDefault="00625719" w:rsidP="00F161D7">
            <w:pPr>
              <w:jc w:val="right"/>
              <w:rPr>
                <w:color w:val="FFFFFF"/>
                <w:sz w:val="12"/>
                <w:szCs w:val="20"/>
                <w:lang w:val="es-GT" w:eastAsia="es-GT"/>
              </w:rPr>
            </w:pP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Default="00625719" w:rsidP="00625719">
      <w:pPr>
        <w:jc w:val="both"/>
      </w:pPr>
    </w:p>
    <w:p w:rsidR="0083797F" w:rsidRPr="00D108FD" w:rsidRDefault="0083797F" w:rsidP="00625719">
      <w:pPr>
        <w:jc w:val="both"/>
      </w:pPr>
    </w:p>
    <w:p w:rsidR="00625719" w:rsidRDefault="00625719" w:rsidP="00625719">
      <w:pPr>
        <w:jc w:val="both"/>
        <w:rPr>
          <w:b/>
        </w:rPr>
      </w:pPr>
      <w:r w:rsidRPr="00D108FD">
        <w:rPr>
          <w:b/>
        </w:rPr>
        <w:t>Ministerio de Trabajo y Previsión Social</w:t>
      </w:r>
      <w:r>
        <w:rPr>
          <w:b/>
        </w:rPr>
        <w:t>:</w:t>
      </w:r>
    </w:p>
    <w:p w:rsidR="00625719" w:rsidRPr="00D108FD" w:rsidRDefault="00625719" w:rsidP="00625719">
      <w:pPr>
        <w:jc w:val="both"/>
        <w:rPr>
          <w:b/>
        </w:rPr>
      </w:pPr>
    </w:p>
    <w:p w:rsidR="00625719" w:rsidRDefault="00625719" w:rsidP="00625719">
      <w:pPr>
        <w:jc w:val="both"/>
      </w:pPr>
      <w:r w:rsidRPr="00D108FD">
        <w:t>El Min</w:t>
      </w:r>
      <w:r>
        <w:t>isterio de Trabajo y Previsión Social</w:t>
      </w:r>
      <w:r w:rsidRPr="00D108FD">
        <w:t xml:space="preserve"> tuvo </w:t>
      </w:r>
      <w:r>
        <w:t>un presupuesto</w:t>
      </w:r>
      <w:r w:rsidRPr="00D108FD">
        <w:t xml:space="preserve"> </w:t>
      </w:r>
      <w:r>
        <w:t xml:space="preserve">aprobad </w:t>
      </w:r>
      <w:r w:rsidRPr="00D108FD">
        <w:t xml:space="preserve">de </w:t>
      </w:r>
      <w:r>
        <w:t>Q</w:t>
      </w:r>
      <w:r w:rsidR="006E1840">
        <w:t>.</w:t>
      </w:r>
      <w:r>
        <w:t>752</w:t>
      </w:r>
      <w:r w:rsidRPr="00D108FD">
        <w:t xml:space="preserve">.2 millones </w:t>
      </w:r>
      <w:r>
        <w:t>su</w:t>
      </w:r>
      <w:r w:rsidRPr="00D108FD">
        <w:t xml:space="preserve"> ejecución presupuestaria se ubicó en </w:t>
      </w:r>
      <w:r>
        <w:t>Q</w:t>
      </w:r>
      <w:r w:rsidR="006E1840">
        <w:t>.</w:t>
      </w:r>
      <w:r w:rsidRPr="00D108FD">
        <w:t>6</w:t>
      </w:r>
      <w:r>
        <w:t>74.8</w:t>
      </w:r>
      <w:r w:rsidRPr="00D108FD">
        <w:t xml:space="preserve"> millones equivalente al </w:t>
      </w:r>
      <w:r>
        <w:t>89.7</w:t>
      </w:r>
      <w:r w:rsidRPr="00D108FD">
        <w:t>%</w:t>
      </w:r>
      <w:r>
        <w:t>.</w:t>
      </w:r>
    </w:p>
    <w:p w:rsidR="00625719" w:rsidRPr="00D108FD" w:rsidRDefault="00625719" w:rsidP="00625719">
      <w:pPr>
        <w:jc w:val="both"/>
      </w:pPr>
    </w:p>
    <w:p w:rsidR="00625719" w:rsidRDefault="00625719" w:rsidP="00625719">
      <w:pPr>
        <w:jc w:val="both"/>
      </w:pPr>
      <w:r>
        <w:t>Con base</w:t>
      </w:r>
      <w:r w:rsidRPr="00D108FD">
        <w:t xml:space="preserve"> en las cifras </w:t>
      </w:r>
      <w:r>
        <w:t>d</w:t>
      </w:r>
      <w:r w:rsidRPr="00D108FD">
        <w:t>el S</w:t>
      </w:r>
      <w:r w:rsidR="006E1840">
        <w:t>ICOIN</w:t>
      </w:r>
      <w:r w:rsidRPr="00D108FD">
        <w:t xml:space="preserve">, se </w:t>
      </w:r>
      <w:r>
        <w:t>observa</w:t>
      </w:r>
      <w:r w:rsidRPr="00D108FD">
        <w:t xml:space="preserve"> que el principal programa fue “Atención al Adulto Mayor” con un presupuesto </w:t>
      </w:r>
      <w:r>
        <w:t xml:space="preserve">aprobado </w:t>
      </w:r>
      <w:r w:rsidRPr="00D108FD">
        <w:t xml:space="preserve">de </w:t>
      </w:r>
      <w:r>
        <w:t>Q</w:t>
      </w:r>
      <w:r w:rsidR="006E1840">
        <w:t>.</w:t>
      </w:r>
      <w:r>
        <w:t>550.0</w:t>
      </w:r>
      <w:r w:rsidRPr="00D108FD">
        <w:t xml:space="preserve"> millones y una ejecución de </w:t>
      </w:r>
      <w:r>
        <w:t>Q</w:t>
      </w:r>
      <w:r w:rsidR="006E1840">
        <w:t>.</w:t>
      </w:r>
      <w:r w:rsidRPr="00D108FD">
        <w:t>490.</w:t>
      </w:r>
      <w:r>
        <w:t>1</w:t>
      </w:r>
      <w:r w:rsidRPr="00D108FD">
        <w:t xml:space="preserve"> millones equivalente al </w:t>
      </w:r>
      <w:r>
        <w:t>89.1</w:t>
      </w:r>
      <w:r w:rsidRPr="00D108FD">
        <w:t>%</w:t>
      </w:r>
      <w:r>
        <w:t>.</w:t>
      </w:r>
    </w:p>
    <w:p w:rsidR="00625719" w:rsidRDefault="00625719" w:rsidP="00625719">
      <w:pPr>
        <w:jc w:val="both"/>
      </w:pPr>
    </w:p>
    <w:p w:rsidR="0083797F" w:rsidRDefault="0083797F" w:rsidP="00625719">
      <w:pPr>
        <w:jc w:val="both"/>
      </w:pPr>
    </w:p>
    <w:p w:rsidR="0083797F" w:rsidRDefault="0083797F" w:rsidP="00625719">
      <w:pPr>
        <w:jc w:val="both"/>
      </w:pPr>
    </w:p>
    <w:p w:rsidR="00625719" w:rsidRDefault="00625719" w:rsidP="00625719">
      <w:pPr>
        <w:jc w:val="both"/>
      </w:pPr>
      <w:r>
        <w:t>Le sigue el programa “Recreación de los Trabajadores del Estado” con presupuesto aprobado de Q</w:t>
      </w:r>
      <w:r w:rsidR="006E1840">
        <w:t>.</w:t>
      </w:r>
      <w:r>
        <w:t>96.1 millones, ejecución presupuestaria de Q</w:t>
      </w:r>
      <w:r w:rsidR="006E1840">
        <w:t>.</w:t>
      </w:r>
      <w:r>
        <w:t>78.4 millones, equivalente al 81.6%.</w:t>
      </w:r>
    </w:p>
    <w:p w:rsidR="00625719" w:rsidRPr="00D108FD" w:rsidRDefault="00625719" w:rsidP="00625719">
      <w:pPr>
        <w:jc w:val="both"/>
      </w:pPr>
    </w:p>
    <w:p w:rsidR="00625719" w:rsidRDefault="00625719" w:rsidP="00625719">
      <w:pPr>
        <w:jc w:val="both"/>
      </w:pPr>
      <w:r w:rsidRPr="00D108FD">
        <w:t>El programa de “Administración Institucional” con</w:t>
      </w:r>
      <w:r>
        <w:t xml:space="preserve"> un </w:t>
      </w:r>
      <w:r w:rsidRPr="00D108FD">
        <w:t xml:space="preserve">presupuesto de </w:t>
      </w:r>
      <w:r>
        <w:t>Q</w:t>
      </w:r>
      <w:r w:rsidR="006E1840">
        <w:t>.</w:t>
      </w:r>
      <w:r w:rsidRPr="00D108FD">
        <w:t>5</w:t>
      </w:r>
      <w:r>
        <w:t>6.2</w:t>
      </w:r>
      <w:r w:rsidRPr="00D108FD">
        <w:t xml:space="preserve"> millones, </w:t>
      </w:r>
      <w:r>
        <w:t xml:space="preserve">con </w:t>
      </w:r>
      <w:r w:rsidRPr="00D108FD">
        <w:t xml:space="preserve">ejecución presupuestaria fue de </w:t>
      </w:r>
      <w:r>
        <w:t>Q</w:t>
      </w:r>
      <w:r w:rsidR="006E1840">
        <w:t>.</w:t>
      </w:r>
      <w:r w:rsidRPr="00D108FD">
        <w:t>5</w:t>
      </w:r>
      <w:r>
        <w:t>4.4</w:t>
      </w:r>
      <w:r w:rsidRPr="00D108FD">
        <w:t xml:space="preserve"> millones equivalentes al 9</w:t>
      </w:r>
      <w:r>
        <w:t>6.7</w:t>
      </w:r>
      <w:r w:rsidRPr="00D108FD">
        <w:t>%.</w:t>
      </w:r>
    </w:p>
    <w:p w:rsidR="00625719" w:rsidRPr="00D108FD" w:rsidRDefault="00625719" w:rsidP="00625719">
      <w:pPr>
        <w:jc w:val="both"/>
      </w:pPr>
    </w:p>
    <w:p w:rsidR="00625719" w:rsidRDefault="00625719" w:rsidP="00625719">
      <w:pPr>
        <w:jc w:val="both"/>
      </w:pPr>
      <w:r w:rsidRPr="00D108FD">
        <w:t>Para completar la ejecución presupuestaria de</w:t>
      </w:r>
      <w:r>
        <w:t xml:space="preserve"> este Ministerio</w:t>
      </w:r>
      <w:r w:rsidRPr="00D108FD">
        <w:t xml:space="preserve">, solo restan tres programas los cuales tuvieron una ejecución </w:t>
      </w:r>
      <w:r>
        <w:t xml:space="preserve">por debajo </w:t>
      </w:r>
      <w:r w:rsidRPr="00D108FD">
        <w:t xml:space="preserve">de </w:t>
      </w:r>
      <w:r>
        <w:t>Q</w:t>
      </w:r>
      <w:r w:rsidR="006E1840">
        <w:t>.</w:t>
      </w:r>
      <w:r w:rsidRPr="00D108FD">
        <w:t>3</w:t>
      </w:r>
      <w:r>
        <w:t>6</w:t>
      </w:r>
      <w:r w:rsidRPr="00D108FD">
        <w:t>.0 millones</w:t>
      </w:r>
      <w:r>
        <w:t>,</w:t>
      </w:r>
      <w:r w:rsidRPr="00D108FD">
        <w:t xml:space="preserve"> tal como se observa en el cuadro </w:t>
      </w:r>
      <w:r>
        <w:t>siguiente:</w:t>
      </w:r>
    </w:p>
    <w:p w:rsidR="00625719" w:rsidRPr="00D108FD" w:rsidRDefault="00625719" w:rsidP="00625719">
      <w:pPr>
        <w:jc w:val="both"/>
      </w:pP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Programa!F85C2:F92C6" \a \f 4 \h  \* MERGEFORMAT </w:instrText>
      </w:r>
      <w:r>
        <w:rPr>
          <w:noProof/>
          <w:lang w:val="es-GT" w:eastAsia="es-GT"/>
        </w:rPr>
        <w:fldChar w:fldCharType="separate"/>
      </w:r>
    </w:p>
    <w:tbl>
      <w:tblPr>
        <w:tblW w:w="9356" w:type="dxa"/>
        <w:tblInd w:w="70" w:type="dxa"/>
        <w:tblCellMar>
          <w:left w:w="70" w:type="dxa"/>
          <w:right w:w="70" w:type="dxa"/>
        </w:tblCellMar>
        <w:tblLook w:val="04A0" w:firstRow="1" w:lastRow="0" w:firstColumn="1" w:lastColumn="0" w:noHBand="0" w:noVBand="1"/>
      </w:tblPr>
      <w:tblGrid>
        <w:gridCol w:w="4536"/>
        <w:gridCol w:w="1418"/>
        <w:gridCol w:w="1417"/>
        <w:gridCol w:w="1134"/>
        <w:gridCol w:w="851"/>
      </w:tblGrid>
      <w:tr w:rsidR="00625719" w:rsidRPr="00D91853" w:rsidTr="00B45D20">
        <w:trPr>
          <w:trHeight w:val="284"/>
        </w:trPr>
        <w:tc>
          <w:tcPr>
            <w:tcW w:w="4536"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D91853" w:rsidRDefault="00625719" w:rsidP="00F161D7">
            <w:pPr>
              <w:jc w:val="center"/>
              <w:rPr>
                <w:b/>
                <w:bCs/>
                <w:color w:val="000000"/>
                <w:sz w:val="16"/>
                <w:szCs w:val="20"/>
                <w:lang w:val="es-GT" w:eastAsia="es-GT"/>
              </w:rPr>
            </w:pPr>
            <w:r w:rsidRPr="00D91853">
              <w:rPr>
                <w:b/>
                <w:bCs/>
                <w:color w:val="000000"/>
                <w:sz w:val="16"/>
                <w:szCs w:val="20"/>
                <w:lang w:val="es-GT" w:eastAsia="es-GT"/>
              </w:rPr>
              <w:t>DESCRIPCION</w:t>
            </w:r>
          </w:p>
        </w:tc>
        <w:tc>
          <w:tcPr>
            <w:tcW w:w="1418" w:type="dxa"/>
            <w:tcBorders>
              <w:top w:val="single" w:sz="8" w:space="0" w:color="auto"/>
              <w:left w:val="nil"/>
              <w:bottom w:val="single" w:sz="4" w:space="0" w:color="auto"/>
              <w:right w:val="single" w:sz="4" w:space="0" w:color="auto"/>
            </w:tcBorders>
            <w:shd w:val="clear" w:color="000000" w:fill="8DB4E2"/>
            <w:noWrap/>
            <w:hideMark/>
          </w:tcPr>
          <w:p w:rsidR="00625719" w:rsidRPr="00D91853" w:rsidRDefault="00625719" w:rsidP="00F161D7">
            <w:pPr>
              <w:jc w:val="center"/>
              <w:rPr>
                <w:b/>
                <w:bCs/>
                <w:color w:val="000000"/>
                <w:sz w:val="16"/>
                <w:szCs w:val="20"/>
                <w:lang w:val="es-GT" w:eastAsia="es-GT"/>
              </w:rPr>
            </w:pPr>
            <w:r w:rsidRPr="00D91853">
              <w:rPr>
                <w:b/>
                <w:bCs/>
                <w:color w:val="000000"/>
                <w:sz w:val="16"/>
                <w:szCs w:val="20"/>
                <w:lang w:val="es-GT" w:eastAsia="es-GT"/>
              </w:rPr>
              <w:t>ASIGNADO</w:t>
            </w:r>
          </w:p>
        </w:tc>
        <w:tc>
          <w:tcPr>
            <w:tcW w:w="1417" w:type="dxa"/>
            <w:tcBorders>
              <w:top w:val="single" w:sz="8" w:space="0" w:color="auto"/>
              <w:left w:val="nil"/>
              <w:bottom w:val="single" w:sz="4" w:space="0" w:color="auto"/>
              <w:right w:val="single" w:sz="4" w:space="0" w:color="auto"/>
            </w:tcBorders>
            <w:shd w:val="clear" w:color="000000" w:fill="8DB4E2"/>
            <w:noWrap/>
            <w:hideMark/>
          </w:tcPr>
          <w:p w:rsidR="00625719" w:rsidRPr="00D91853" w:rsidRDefault="00625719" w:rsidP="00F161D7">
            <w:pPr>
              <w:jc w:val="center"/>
              <w:rPr>
                <w:b/>
                <w:bCs/>
                <w:color w:val="000000"/>
                <w:sz w:val="16"/>
                <w:szCs w:val="20"/>
                <w:lang w:val="es-GT" w:eastAsia="es-GT"/>
              </w:rPr>
            </w:pPr>
            <w:r w:rsidRPr="00D91853">
              <w:rPr>
                <w:b/>
                <w:bCs/>
                <w:color w:val="000000"/>
                <w:sz w:val="16"/>
                <w:szCs w:val="20"/>
                <w:lang w:val="es-GT" w:eastAsia="es-GT"/>
              </w:rPr>
              <w:t>EJECUCIÓN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D91853" w:rsidRDefault="00625719" w:rsidP="00F161D7">
            <w:pPr>
              <w:jc w:val="center"/>
              <w:rPr>
                <w:b/>
                <w:bCs/>
                <w:color w:val="000000"/>
                <w:sz w:val="16"/>
                <w:szCs w:val="20"/>
                <w:lang w:val="es-GT" w:eastAsia="es-GT"/>
              </w:rPr>
            </w:pPr>
            <w:r w:rsidRPr="00D91853">
              <w:rPr>
                <w:b/>
                <w:bCs/>
                <w:color w:val="000000"/>
                <w:sz w:val="16"/>
                <w:szCs w:val="20"/>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hideMark/>
          </w:tcPr>
          <w:p w:rsidR="00625719" w:rsidRPr="00D91853" w:rsidRDefault="00625719" w:rsidP="00F161D7">
            <w:pPr>
              <w:jc w:val="center"/>
              <w:rPr>
                <w:b/>
                <w:bCs/>
                <w:color w:val="000000"/>
                <w:sz w:val="16"/>
                <w:szCs w:val="20"/>
                <w:lang w:val="es-GT" w:eastAsia="es-GT"/>
              </w:rPr>
            </w:pPr>
            <w:r w:rsidRPr="00D91853">
              <w:rPr>
                <w:b/>
                <w:bCs/>
                <w:color w:val="000000"/>
                <w:sz w:val="16"/>
                <w:szCs w:val="20"/>
                <w:lang w:val="es-GT" w:eastAsia="es-GT"/>
              </w:rPr>
              <w:t>% Ejec</w:t>
            </w:r>
          </w:p>
        </w:tc>
      </w:tr>
      <w:tr w:rsidR="00625719" w:rsidRPr="00D91853" w:rsidTr="00B45D20">
        <w:trPr>
          <w:trHeight w:val="284"/>
        </w:trPr>
        <w:tc>
          <w:tcPr>
            <w:tcW w:w="4536" w:type="dxa"/>
            <w:tcBorders>
              <w:top w:val="nil"/>
              <w:left w:val="single" w:sz="8" w:space="0" w:color="auto"/>
              <w:bottom w:val="nil"/>
              <w:right w:val="single" w:sz="4" w:space="0" w:color="auto"/>
            </w:tcBorders>
            <w:shd w:val="clear" w:color="FFFFFF" w:fill="FFFFFF"/>
            <w:noWrap/>
            <w:vAlign w:val="bottom"/>
            <w:hideMark/>
          </w:tcPr>
          <w:p w:rsidR="00625719" w:rsidRPr="00D91853" w:rsidRDefault="00625719" w:rsidP="00F161D7">
            <w:pPr>
              <w:rPr>
                <w:b/>
                <w:bCs/>
                <w:color w:val="333333"/>
                <w:sz w:val="16"/>
                <w:szCs w:val="20"/>
                <w:lang w:val="es-GT" w:eastAsia="es-GT"/>
              </w:rPr>
            </w:pPr>
            <w:r w:rsidRPr="00D91853">
              <w:rPr>
                <w:b/>
                <w:bCs/>
                <w:color w:val="333333"/>
                <w:sz w:val="16"/>
                <w:szCs w:val="20"/>
                <w:lang w:val="es-GT" w:eastAsia="es-GT"/>
              </w:rPr>
              <w:t>MINISTERIO DE TRABAJO Y PREVISIÓN SOCIAL</w:t>
            </w:r>
          </w:p>
        </w:tc>
        <w:tc>
          <w:tcPr>
            <w:tcW w:w="1418"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b/>
                <w:bCs/>
                <w:color w:val="333333"/>
                <w:sz w:val="16"/>
                <w:szCs w:val="20"/>
                <w:lang w:val="es-GT" w:eastAsia="es-GT"/>
              </w:rPr>
            </w:pPr>
            <w:r w:rsidRPr="00D91853">
              <w:rPr>
                <w:b/>
                <w:bCs/>
                <w:color w:val="333333"/>
                <w:sz w:val="16"/>
                <w:szCs w:val="20"/>
                <w:lang w:val="es-GT" w:eastAsia="es-GT"/>
              </w:rPr>
              <w:t>752.2</w:t>
            </w:r>
          </w:p>
        </w:tc>
        <w:tc>
          <w:tcPr>
            <w:tcW w:w="1417"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b/>
                <w:bCs/>
                <w:color w:val="333333"/>
                <w:sz w:val="16"/>
                <w:szCs w:val="20"/>
                <w:lang w:val="es-GT" w:eastAsia="es-GT"/>
              </w:rPr>
            </w:pPr>
            <w:r w:rsidRPr="00D91853">
              <w:rPr>
                <w:b/>
                <w:bCs/>
                <w:color w:val="333333"/>
                <w:sz w:val="16"/>
                <w:szCs w:val="20"/>
                <w:lang w:val="es-GT" w:eastAsia="es-GT"/>
              </w:rPr>
              <w:t>674.8</w:t>
            </w:r>
          </w:p>
        </w:tc>
        <w:tc>
          <w:tcPr>
            <w:tcW w:w="1134"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b/>
                <w:bCs/>
                <w:color w:val="333333"/>
                <w:sz w:val="16"/>
                <w:szCs w:val="20"/>
                <w:lang w:val="es-GT" w:eastAsia="es-GT"/>
              </w:rPr>
            </w:pPr>
            <w:r w:rsidRPr="00D91853">
              <w:rPr>
                <w:b/>
                <w:bCs/>
                <w:color w:val="333333"/>
                <w:sz w:val="16"/>
                <w:szCs w:val="20"/>
                <w:lang w:val="es-GT" w:eastAsia="es-GT"/>
              </w:rPr>
              <w:t>77.5</w:t>
            </w:r>
          </w:p>
        </w:tc>
        <w:tc>
          <w:tcPr>
            <w:tcW w:w="851" w:type="dxa"/>
            <w:tcBorders>
              <w:top w:val="nil"/>
              <w:left w:val="nil"/>
              <w:bottom w:val="nil"/>
              <w:right w:val="single" w:sz="8" w:space="0" w:color="auto"/>
            </w:tcBorders>
            <w:shd w:val="clear" w:color="FFFFFF" w:fill="FFFFFF"/>
            <w:noWrap/>
            <w:vAlign w:val="bottom"/>
            <w:hideMark/>
          </w:tcPr>
          <w:p w:rsidR="00625719" w:rsidRPr="00D91853" w:rsidRDefault="00625719" w:rsidP="00F161D7">
            <w:pPr>
              <w:jc w:val="right"/>
              <w:rPr>
                <w:b/>
                <w:bCs/>
                <w:color w:val="333333"/>
                <w:sz w:val="16"/>
                <w:szCs w:val="20"/>
                <w:lang w:val="es-GT" w:eastAsia="es-GT"/>
              </w:rPr>
            </w:pPr>
            <w:r w:rsidRPr="00D91853">
              <w:rPr>
                <w:b/>
                <w:bCs/>
                <w:color w:val="333333"/>
                <w:sz w:val="16"/>
                <w:szCs w:val="20"/>
                <w:lang w:val="es-GT" w:eastAsia="es-GT"/>
              </w:rPr>
              <w:t>89.7%</w:t>
            </w:r>
          </w:p>
        </w:tc>
      </w:tr>
      <w:tr w:rsidR="00625719" w:rsidRPr="00D91853" w:rsidTr="00B45D20">
        <w:trPr>
          <w:trHeight w:val="284"/>
        </w:trPr>
        <w:tc>
          <w:tcPr>
            <w:tcW w:w="4536" w:type="dxa"/>
            <w:tcBorders>
              <w:top w:val="nil"/>
              <w:left w:val="single" w:sz="8" w:space="0" w:color="auto"/>
              <w:bottom w:val="nil"/>
              <w:right w:val="single" w:sz="4" w:space="0" w:color="auto"/>
            </w:tcBorders>
            <w:shd w:val="clear" w:color="FFFFFF" w:fill="FFFFFF"/>
            <w:noWrap/>
            <w:vAlign w:val="bottom"/>
            <w:hideMark/>
          </w:tcPr>
          <w:p w:rsidR="00625719" w:rsidRPr="00D91853" w:rsidRDefault="00625719" w:rsidP="00F161D7">
            <w:pPr>
              <w:ind w:firstLineChars="200" w:firstLine="320"/>
              <w:rPr>
                <w:color w:val="333333"/>
                <w:sz w:val="16"/>
                <w:szCs w:val="20"/>
                <w:lang w:val="es-GT" w:eastAsia="es-GT"/>
              </w:rPr>
            </w:pPr>
            <w:r w:rsidRPr="00D91853">
              <w:rPr>
                <w:color w:val="333333"/>
                <w:sz w:val="16"/>
                <w:szCs w:val="20"/>
                <w:lang w:val="es-GT" w:eastAsia="es-GT"/>
              </w:rPr>
              <w:t>ATENCIÓN AL ADULTO MAYOR</w:t>
            </w:r>
          </w:p>
        </w:tc>
        <w:tc>
          <w:tcPr>
            <w:tcW w:w="1418"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550.0</w:t>
            </w:r>
          </w:p>
        </w:tc>
        <w:tc>
          <w:tcPr>
            <w:tcW w:w="1417"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490.1</w:t>
            </w:r>
          </w:p>
        </w:tc>
        <w:tc>
          <w:tcPr>
            <w:tcW w:w="1134"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59.9</w:t>
            </w:r>
          </w:p>
        </w:tc>
        <w:tc>
          <w:tcPr>
            <w:tcW w:w="851" w:type="dxa"/>
            <w:tcBorders>
              <w:top w:val="nil"/>
              <w:left w:val="nil"/>
              <w:bottom w:val="nil"/>
              <w:right w:val="single" w:sz="8"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89.1%</w:t>
            </w:r>
          </w:p>
        </w:tc>
      </w:tr>
      <w:tr w:rsidR="00625719" w:rsidRPr="00D91853" w:rsidTr="00B45D20">
        <w:trPr>
          <w:trHeight w:val="284"/>
        </w:trPr>
        <w:tc>
          <w:tcPr>
            <w:tcW w:w="4536" w:type="dxa"/>
            <w:tcBorders>
              <w:top w:val="nil"/>
              <w:left w:val="single" w:sz="8" w:space="0" w:color="auto"/>
              <w:bottom w:val="nil"/>
              <w:right w:val="single" w:sz="4" w:space="0" w:color="auto"/>
            </w:tcBorders>
            <w:shd w:val="clear" w:color="FFFFFF" w:fill="FFFFFF"/>
            <w:noWrap/>
            <w:vAlign w:val="bottom"/>
            <w:hideMark/>
          </w:tcPr>
          <w:p w:rsidR="00625719" w:rsidRPr="00D91853" w:rsidRDefault="00625719" w:rsidP="00F161D7">
            <w:pPr>
              <w:ind w:firstLineChars="200" w:firstLine="320"/>
              <w:rPr>
                <w:color w:val="333333"/>
                <w:sz w:val="16"/>
                <w:szCs w:val="20"/>
                <w:lang w:val="es-GT" w:eastAsia="es-GT"/>
              </w:rPr>
            </w:pPr>
            <w:r w:rsidRPr="00D91853">
              <w:rPr>
                <w:color w:val="333333"/>
                <w:sz w:val="16"/>
                <w:szCs w:val="20"/>
                <w:lang w:val="es-GT" w:eastAsia="es-GT"/>
              </w:rPr>
              <w:t>RECREACIÓN DE LOS TRABAJADORES DEL ESTADO</w:t>
            </w:r>
          </w:p>
        </w:tc>
        <w:tc>
          <w:tcPr>
            <w:tcW w:w="1418"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96.1</w:t>
            </w:r>
          </w:p>
        </w:tc>
        <w:tc>
          <w:tcPr>
            <w:tcW w:w="1417"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78.4</w:t>
            </w:r>
          </w:p>
        </w:tc>
        <w:tc>
          <w:tcPr>
            <w:tcW w:w="1134"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17.7</w:t>
            </w:r>
          </w:p>
        </w:tc>
        <w:tc>
          <w:tcPr>
            <w:tcW w:w="851" w:type="dxa"/>
            <w:tcBorders>
              <w:top w:val="nil"/>
              <w:left w:val="nil"/>
              <w:bottom w:val="nil"/>
              <w:right w:val="single" w:sz="8"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81.6%</w:t>
            </w:r>
          </w:p>
        </w:tc>
      </w:tr>
      <w:tr w:rsidR="00625719" w:rsidRPr="00D91853" w:rsidTr="00B45D20">
        <w:trPr>
          <w:trHeight w:val="284"/>
        </w:trPr>
        <w:tc>
          <w:tcPr>
            <w:tcW w:w="4536" w:type="dxa"/>
            <w:tcBorders>
              <w:top w:val="nil"/>
              <w:left w:val="single" w:sz="8" w:space="0" w:color="auto"/>
              <w:bottom w:val="nil"/>
              <w:right w:val="single" w:sz="4" w:space="0" w:color="auto"/>
            </w:tcBorders>
            <w:shd w:val="clear" w:color="FFFFFF" w:fill="FFFFFF"/>
            <w:noWrap/>
            <w:vAlign w:val="bottom"/>
            <w:hideMark/>
          </w:tcPr>
          <w:p w:rsidR="00625719" w:rsidRPr="00D91853" w:rsidRDefault="00625719" w:rsidP="00F161D7">
            <w:pPr>
              <w:ind w:firstLineChars="200" w:firstLine="320"/>
              <w:rPr>
                <w:color w:val="333333"/>
                <w:sz w:val="16"/>
                <w:szCs w:val="20"/>
                <w:lang w:val="es-GT" w:eastAsia="es-GT"/>
              </w:rPr>
            </w:pPr>
            <w:r w:rsidRPr="00D91853">
              <w:rPr>
                <w:color w:val="333333"/>
                <w:sz w:val="16"/>
                <w:szCs w:val="20"/>
                <w:lang w:val="es-GT" w:eastAsia="es-GT"/>
              </w:rPr>
              <w:t>ADMINISTRACIÓN INSTITUCIONAL</w:t>
            </w:r>
          </w:p>
        </w:tc>
        <w:tc>
          <w:tcPr>
            <w:tcW w:w="1418"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56.2</w:t>
            </w:r>
          </w:p>
        </w:tc>
        <w:tc>
          <w:tcPr>
            <w:tcW w:w="1417"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54.4</w:t>
            </w:r>
          </w:p>
        </w:tc>
        <w:tc>
          <w:tcPr>
            <w:tcW w:w="1134"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1.9</w:t>
            </w:r>
          </w:p>
        </w:tc>
        <w:tc>
          <w:tcPr>
            <w:tcW w:w="851" w:type="dxa"/>
            <w:tcBorders>
              <w:top w:val="nil"/>
              <w:left w:val="nil"/>
              <w:bottom w:val="nil"/>
              <w:right w:val="single" w:sz="8"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96.7%</w:t>
            </w:r>
          </w:p>
        </w:tc>
      </w:tr>
      <w:tr w:rsidR="00625719" w:rsidRPr="00D91853" w:rsidTr="00B45D20">
        <w:trPr>
          <w:trHeight w:val="284"/>
        </w:trPr>
        <w:tc>
          <w:tcPr>
            <w:tcW w:w="4536" w:type="dxa"/>
            <w:tcBorders>
              <w:top w:val="nil"/>
              <w:left w:val="single" w:sz="8" w:space="0" w:color="auto"/>
              <w:bottom w:val="nil"/>
              <w:right w:val="single" w:sz="4" w:space="0" w:color="auto"/>
            </w:tcBorders>
            <w:shd w:val="clear" w:color="FFFFFF" w:fill="FFFFFF"/>
            <w:noWrap/>
            <w:vAlign w:val="bottom"/>
            <w:hideMark/>
          </w:tcPr>
          <w:p w:rsidR="00625719" w:rsidRPr="00D91853" w:rsidRDefault="00625719" w:rsidP="00F161D7">
            <w:pPr>
              <w:ind w:firstLineChars="200" w:firstLine="320"/>
              <w:rPr>
                <w:color w:val="333333"/>
                <w:sz w:val="16"/>
                <w:szCs w:val="20"/>
                <w:lang w:val="es-GT" w:eastAsia="es-GT"/>
              </w:rPr>
            </w:pPr>
            <w:r w:rsidRPr="00D91853">
              <w:rPr>
                <w:color w:val="333333"/>
                <w:sz w:val="16"/>
                <w:szCs w:val="20"/>
                <w:lang w:val="es-GT" w:eastAsia="es-GT"/>
              </w:rPr>
              <w:t>PROMOCIÓN DE LA FORMALIDAD DEL EMPLEO</w:t>
            </w:r>
          </w:p>
        </w:tc>
        <w:tc>
          <w:tcPr>
            <w:tcW w:w="1418"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36.3</w:t>
            </w:r>
          </w:p>
        </w:tc>
        <w:tc>
          <w:tcPr>
            <w:tcW w:w="1417"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35.0</w:t>
            </w:r>
          </w:p>
        </w:tc>
        <w:tc>
          <w:tcPr>
            <w:tcW w:w="1134"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1.3</w:t>
            </w:r>
          </w:p>
        </w:tc>
        <w:tc>
          <w:tcPr>
            <w:tcW w:w="851" w:type="dxa"/>
            <w:tcBorders>
              <w:top w:val="nil"/>
              <w:left w:val="nil"/>
              <w:bottom w:val="nil"/>
              <w:right w:val="single" w:sz="8"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96.3%</w:t>
            </w:r>
          </w:p>
        </w:tc>
      </w:tr>
      <w:tr w:rsidR="00625719" w:rsidRPr="00D91853" w:rsidTr="00B45D20">
        <w:trPr>
          <w:trHeight w:val="284"/>
        </w:trPr>
        <w:tc>
          <w:tcPr>
            <w:tcW w:w="4536" w:type="dxa"/>
            <w:tcBorders>
              <w:top w:val="nil"/>
              <w:left w:val="single" w:sz="8" w:space="0" w:color="auto"/>
              <w:bottom w:val="nil"/>
              <w:right w:val="single" w:sz="4" w:space="0" w:color="auto"/>
            </w:tcBorders>
            <w:shd w:val="clear" w:color="FFFFFF" w:fill="FFFFFF"/>
            <w:noWrap/>
            <w:vAlign w:val="bottom"/>
            <w:hideMark/>
          </w:tcPr>
          <w:p w:rsidR="00625719" w:rsidRPr="00D91853" w:rsidRDefault="00625719" w:rsidP="00F161D7">
            <w:pPr>
              <w:ind w:firstLineChars="200" w:firstLine="320"/>
              <w:rPr>
                <w:color w:val="333333"/>
                <w:sz w:val="16"/>
                <w:szCs w:val="20"/>
                <w:lang w:val="es-GT" w:eastAsia="es-GT"/>
              </w:rPr>
            </w:pPr>
            <w:r w:rsidRPr="00D91853">
              <w:rPr>
                <w:color w:val="333333"/>
                <w:sz w:val="16"/>
                <w:szCs w:val="20"/>
                <w:lang w:val="es-GT" w:eastAsia="es-GT"/>
              </w:rPr>
              <w:t>GESTIÓN DE ASUNTOS LABORALES</w:t>
            </w:r>
          </w:p>
        </w:tc>
        <w:tc>
          <w:tcPr>
            <w:tcW w:w="1418"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12.7</w:t>
            </w:r>
          </w:p>
        </w:tc>
        <w:tc>
          <w:tcPr>
            <w:tcW w:w="1417"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12.1</w:t>
            </w:r>
          </w:p>
        </w:tc>
        <w:tc>
          <w:tcPr>
            <w:tcW w:w="1134" w:type="dxa"/>
            <w:tcBorders>
              <w:top w:val="nil"/>
              <w:left w:val="nil"/>
              <w:bottom w:val="nil"/>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0.6</w:t>
            </w:r>
          </w:p>
        </w:tc>
        <w:tc>
          <w:tcPr>
            <w:tcW w:w="851" w:type="dxa"/>
            <w:tcBorders>
              <w:top w:val="nil"/>
              <w:left w:val="nil"/>
              <w:bottom w:val="nil"/>
              <w:right w:val="single" w:sz="8"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95.5%</w:t>
            </w:r>
          </w:p>
        </w:tc>
      </w:tr>
      <w:tr w:rsidR="00625719" w:rsidRPr="00D91853" w:rsidTr="00B45D20">
        <w:trPr>
          <w:trHeight w:val="284"/>
        </w:trPr>
        <w:tc>
          <w:tcPr>
            <w:tcW w:w="4536" w:type="dxa"/>
            <w:tcBorders>
              <w:top w:val="nil"/>
              <w:left w:val="single" w:sz="8" w:space="0" w:color="auto"/>
              <w:bottom w:val="single" w:sz="8" w:space="0" w:color="auto"/>
              <w:right w:val="single" w:sz="4" w:space="0" w:color="auto"/>
            </w:tcBorders>
            <w:shd w:val="clear" w:color="FFFFFF" w:fill="FFFFFF"/>
            <w:noWrap/>
            <w:vAlign w:val="bottom"/>
            <w:hideMark/>
          </w:tcPr>
          <w:p w:rsidR="00625719" w:rsidRPr="00D91853" w:rsidRDefault="00625719" w:rsidP="00F161D7">
            <w:pPr>
              <w:ind w:firstLineChars="200" w:firstLine="320"/>
              <w:rPr>
                <w:color w:val="333333"/>
                <w:sz w:val="16"/>
                <w:szCs w:val="20"/>
                <w:lang w:val="es-GT" w:eastAsia="es-GT"/>
              </w:rPr>
            </w:pPr>
            <w:r w:rsidRPr="00D91853">
              <w:rPr>
                <w:color w:val="333333"/>
                <w:sz w:val="16"/>
                <w:szCs w:val="20"/>
                <w:lang w:val="es-GT" w:eastAsia="es-GT"/>
              </w:rPr>
              <w:t>PARTIDAS NO ASIGNABLES A PROGRAMAS</w:t>
            </w:r>
          </w:p>
        </w:tc>
        <w:tc>
          <w:tcPr>
            <w:tcW w:w="1418"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0.9</w:t>
            </w:r>
          </w:p>
        </w:tc>
        <w:tc>
          <w:tcPr>
            <w:tcW w:w="1417" w:type="dxa"/>
            <w:tcBorders>
              <w:top w:val="nil"/>
              <w:left w:val="nil"/>
              <w:bottom w:val="single" w:sz="8" w:space="0" w:color="auto"/>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4.9</w:t>
            </w:r>
          </w:p>
        </w:tc>
        <w:tc>
          <w:tcPr>
            <w:tcW w:w="1134"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-4.0</w:t>
            </w:r>
          </w:p>
        </w:tc>
        <w:tc>
          <w:tcPr>
            <w:tcW w:w="851" w:type="dxa"/>
            <w:tcBorders>
              <w:top w:val="nil"/>
              <w:left w:val="single" w:sz="4" w:space="0" w:color="auto"/>
              <w:bottom w:val="single" w:sz="8" w:space="0" w:color="auto"/>
              <w:right w:val="single" w:sz="8" w:space="0" w:color="auto"/>
            </w:tcBorders>
            <w:shd w:val="clear" w:color="FFFFFF" w:fill="FFFFFF"/>
            <w:noWrap/>
            <w:vAlign w:val="bottom"/>
            <w:hideMark/>
          </w:tcPr>
          <w:p w:rsidR="00625719" w:rsidRPr="00D91853" w:rsidRDefault="00625719" w:rsidP="00F161D7">
            <w:pPr>
              <w:jc w:val="right"/>
              <w:rPr>
                <w:color w:val="333333"/>
                <w:sz w:val="16"/>
                <w:szCs w:val="20"/>
                <w:lang w:val="es-GT" w:eastAsia="es-GT"/>
              </w:rPr>
            </w:pPr>
            <w:r w:rsidRPr="00D91853">
              <w:rPr>
                <w:color w:val="333333"/>
                <w:sz w:val="16"/>
                <w:szCs w:val="20"/>
                <w:lang w:val="es-GT" w:eastAsia="es-GT"/>
              </w:rPr>
              <w:t>533.2%</w:t>
            </w: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Default="00625719" w:rsidP="00625719">
      <w:pPr>
        <w:jc w:val="both"/>
      </w:pPr>
    </w:p>
    <w:p w:rsidR="0083797F" w:rsidRDefault="0083797F" w:rsidP="00625719">
      <w:pPr>
        <w:jc w:val="both"/>
      </w:pPr>
    </w:p>
    <w:p w:rsidR="0083797F" w:rsidRPr="00D108FD" w:rsidRDefault="0083797F" w:rsidP="00625719">
      <w:pPr>
        <w:jc w:val="both"/>
      </w:pPr>
    </w:p>
    <w:p w:rsidR="00625719" w:rsidRDefault="00625719" w:rsidP="00625719">
      <w:pPr>
        <w:jc w:val="both"/>
        <w:rPr>
          <w:b/>
        </w:rPr>
      </w:pPr>
      <w:r w:rsidRPr="00D108FD">
        <w:rPr>
          <w:b/>
        </w:rPr>
        <w:t>Ministerio de Economía</w:t>
      </w:r>
      <w:r>
        <w:rPr>
          <w:b/>
        </w:rPr>
        <w:t>:</w:t>
      </w:r>
    </w:p>
    <w:p w:rsidR="00625719" w:rsidRPr="00D108FD" w:rsidRDefault="00625719" w:rsidP="00625719">
      <w:pPr>
        <w:jc w:val="both"/>
        <w:rPr>
          <w:b/>
        </w:rPr>
      </w:pPr>
    </w:p>
    <w:p w:rsidR="00625719" w:rsidRDefault="00625719" w:rsidP="00625719">
      <w:pPr>
        <w:jc w:val="both"/>
      </w:pPr>
      <w:r w:rsidRPr="00D108FD">
        <w:t>El Min</w:t>
      </w:r>
      <w:r>
        <w:t xml:space="preserve">isterio de Economía </w:t>
      </w:r>
      <w:r w:rsidRPr="00D108FD">
        <w:t xml:space="preserve">tuvo un presupuesto </w:t>
      </w:r>
      <w:r>
        <w:t xml:space="preserve">aprobado </w:t>
      </w:r>
      <w:r w:rsidRPr="00D108FD">
        <w:t xml:space="preserve">de </w:t>
      </w:r>
      <w:r>
        <w:t>Q</w:t>
      </w:r>
      <w:r w:rsidR="006E1840">
        <w:t>.</w:t>
      </w:r>
      <w:r>
        <w:t>403</w:t>
      </w:r>
      <w:r w:rsidRPr="00D108FD">
        <w:t xml:space="preserve">.4 millones.  La ejecución presupuestaria fue de </w:t>
      </w:r>
      <w:r>
        <w:t>Q</w:t>
      </w:r>
      <w:r w:rsidR="006E1840">
        <w:t>.</w:t>
      </w:r>
      <w:r w:rsidRPr="00D108FD">
        <w:t>3</w:t>
      </w:r>
      <w:r>
        <w:t>50.</w:t>
      </w:r>
      <w:r w:rsidRPr="00D108FD">
        <w:t xml:space="preserve">6 millones equivalente al </w:t>
      </w:r>
      <w:r>
        <w:t>86.</w:t>
      </w:r>
      <w:r w:rsidRPr="00D108FD">
        <w:t>9%.</w:t>
      </w:r>
    </w:p>
    <w:p w:rsidR="00625719" w:rsidRPr="00D108FD" w:rsidRDefault="00625719" w:rsidP="00625719">
      <w:pPr>
        <w:jc w:val="both"/>
      </w:pPr>
    </w:p>
    <w:p w:rsidR="00625719" w:rsidRDefault="00625719" w:rsidP="00625719">
      <w:pPr>
        <w:jc w:val="both"/>
      </w:pPr>
      <w:r w:rsidRPr="00D108FD">
        <w:t>El principal programa de este ministerio fue</w:t>
      </w:r>
      <w:r>
        <w:t xml:space="preserve"> el de</w:t>
      </w:r>
      <w:r w:rsidRPr="00D108FD">
        <w:t xml:space="preserve"> </w:t>
      </w:r>
      <w:r>
        <w:t>“</w:t>
      </w:r>
      <w:r w:rsidRPr="00D108FD">
        <w:t>Partidas No Asignables a Programas</w:t>
      </w:r>
      <w:r>
        <w:t>”</w:t>
      </w:r>
      <w:r w:rsidRPr="00D108FD">
        <w:t>, el cual tuvo un presupuesto</w:t>
      </w:r>
      <w:r>
        <w:t xml:space="preserve"> aprobado</w:t>
      </w:r>
      <w:r w:rsidRPr="00D108FD">
        <w:t xml:space="preserve"> de </w:t>
      </w:r>
      <w:r>
        <w:t>Q</w:t>
      </w:r>
      <w:r w:rsidR="008C04C3">
        <w:t>.</w:t>
      </w:r>
      <w:r>
        <w:t>86.3</w:t>
      </w:r>
      <w:r w:rsidRPr="00D108FD">
        <w:t xml:space="preserve"> millones y la ejecución fue de </w:t>
      </w:r>
      <w:r>
        <w:t>Q</w:t>
      </w:r>
      <w:r w:rsidR="008C04C3">
        <w:t>.</w:t>
      </w:r>
      <w:r>
        <w:t>86.4</w:t>
      </w:r>
      <w:r w:rsidRPr="00D108FD">
        <w:t xml:space="preserve"> millones equivalente al 100</w:t>
      </w:r>
      <w:r w:rsidR="008C04C3">
        <w:t>.0</w:t>
      </w:r>
      <w:r w:rsidRPr="00D108FD">
        <w:t>%</w:t>
      </w:r>
      <w:r>
        <w:t>.</w:t>
      </w:r>
    </w:p>
    <w:p w:rsidR="00625719" w:rsidRPr="00D108FD" w:rsidRDefault="00625719" w:rsidP="00625719">
      <w:pPr>
        <w:jc w:val="both"/>
      </w:pPr>
    </w:p>
    <w:p w:rsidR="00625719" w:rsidRDefault="00625719" w:rsidP="00625719">
      <w:pPr>
        <w:jc w:val="both"/>
      </w:pPr>
      <w:r w:rsidRPr="00D108FD">
        <w:t>El programa de “</w:t>
      </w:r>
      <w:r>
        <w:t>Actividades Centrales</w:t>
      </w:r>
      <w:r w:rsidRPr="00D108FD">
        <w:t xml:space="preserve">” tuvo un presupuesto de </w:t>
      </w:r>
      <w:r>
        <w:t>Q</w:t>
      </w:r>
      <w:r w:rsidR="008C04C3">
        <w:t>.</w:t>
      </w:r>
      <w:r>
        <w:t>57.4</w:t>
      </w:r>
      <w:r w:rsidRPr="00D108FD">
        <w:t xml:space="preserve"> millones y una ejecución presupuestaria de </w:t>
      </w:r>
      <w:r>
        <w:t>Q</w:t>
      </w:r>
      <w:r w:rsidR="008C04C3">
        <w:t>.</w:t>
      </w:r>
      <w:r>
        <w:t>62.9</w:t>
      </w:r>
      <w:r w:rsidRPr="00D108FD">
        <w:t xml:space="preserve"> millones equivalente al </w:t>
      </w:r>
      <w:r>
        <w:t>109.7</w:t>
      </w:r>
      <w:r w:rsidRPr="00D108FD">
        <w:t>%</w:t>
      </w:r>
      <w:r>
        <w:t>.</w:t>
      </w:r>
    </w:p>
    <w:p w:rsidR="00625719" w:rsidRPr="00D108FD" w:rsidRDefault="00625719" w:rsidP="00625719">
      <w:pPr>
        <w:jc w:val="both"/>
      </w:pPr>
    </w:p>
    <w:p w:rsidR="00625719" w:rsidRDefault="00625719" w:rsidP="00625719">
      <w:pPr>
        <w:jc w:val="both"/>
      </w:pPr>
      <w:r w:rsidRPr="00D108FD">
        <w:t xml:space="preserve">El programa de “Gestión de la Integración Económica y Comercio Exterior” </w:t>
      </w:r>
      <w:r>
        <w:t>tuvo un presupuesto aprobado de</w:t>
      </w:r>
      <w:r w:rsidRPr="00D108FD">
        <w:t xml:space="preserve"> </w:t>
      </w:r>
      <w:r>
        <w:t>Q</w:t>
      </w:r>
      <w:r w:rsidR="008C04C3">
        <w:t>.</w:t>
      </w:r>
      <w:r>
        <w:t>83.5</w:t>
      </w:r>
      <w:r w:rsidRPr="00D108FD">
        <w:t xml:space="preserve"> millones y la ejecución presupuestaria fue de </w:t>
      </w:r>
      <w:r>
        <w:t>Q</w:t>
      </w:r>
      <w:r w:rsidR="008C04C3">
        <w:t>.</w:t>
      </w:r>
      <w:r>
        <w:t>62.0</w:t>
      </w:r>
      <w:r w:rsidRPr="00D108FD">
        <w:t xml:space="preserve"> millones equivalente al </w:t>
      </w:r>
      <w:r>
        <w:t>74.2</w:t>
      </w:r>
      <w:r w:rsidRPr="00D108FD">
        <w:t>%</w:t>
      </w:r>
      <w:r>
        <w:t>.</w:t>
      </w:r>
    </w:p>
    <w:p w:rsidR="00625719" w:rsidRPr="00D108FD" w:rsidRDefault="00625719" w:rsidP="00625719">
      <w:pPr>
        <w:jc w:val="both"/>
      </w:pPr>
    </w:p>
    <w:p w:rsidR="00625719" w:rsidRDefault="00625719" w:rsidP="00625719">
      <w:pPr>
        <w:jc w:val="both"/>
      </w:pPr>
      <w:r w:rsidRPr="00D108FD">
        <w:t xml:space="preserve">En los 4 restantes programas se observa una ejecución por debajo de los </w:t>
      </w:r>
      <w:r>
        <w:t>Q</w:t>
      </w:r>
      <w:r w:rsidR="008C04C3">
        <w:t>.</w:t>
      </w:r>
      <w:r>
        <w:t>45.0</w:t>
      </w:r>
      <w:r w:rsidRPr="00D108FD">
        <w:t xml:space="preserve"> millones, tal como se puede observar en el cuadro que se presenta a continuación</w:t>
      </w:r>
      <w:r>
        <w:t>:</w:t>
      </w:r>
    </w:p>
    <w:p w:rsidR="00625719" w:rsidRPr="00D108FD" w:rsidRDefault="00625719" w:rsidP="00625719">
      <w:pPr>
        <w:jc w:val="both"/>
      </w:pPr>
    </w:p>
    <w:p w:rsidR="0083797F" w:rsidRDefault="0083797F" w:rsidP="00625719">
      <w:pPr>
        <w:jc w:val="both"/>
        <w:rPr>
          <w:noProof/>
          <w:lang w:val="es-GT" w:eastAsia="es-GT"/>
        </w:rPr>
      </w:pP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Programa!F94C2:F102C6" \a \f 4 \h  \* MERGEFORMAT </w:instrText>
      </w:r>
      <w:r>
        <w:rPr>
          <w:noProof/>
          <w:lang w:val="es-GT" w:eastAsia="es-GT"/>
        </w:rPr>
        <w:fldChar w:fldCharType="separate"/>
      </w:r>
    </w:p>
    <w:tbl>
      <w:tblPr>
        <w:tblW w:w="9356" w:type="dxa"/>
        <w:tblInd w:w="70" w:type="dxa"/>
        <w:tblCellMar>
          <w:left w:w="70" w:type="dxa"/>
          <w:right w:w="70" w:type="dxa"/>
        </w:tblCellMar>
        <w:tblLook w:val="04A0" w:firstRow="1" w:lastRow="0" w:firstColumn="1" w:lastColumn="0" w:noHBand="0" w:noVBand="1"/>
      </w:tblPr>
      <w:tblGrid>
        <w:gridCol w:w="4678"/>
        <w:gridCol w:w="1418"/>
        <w:gridCol w:w="1275"/>
        <w:gridCol w:w="1134"/>
        <w:gridCol w:w="851"/>
      </w:tblGrid>
      <w:tr w:rsidR="00625719" w:rsidRPr="00C035A0" w:rsidTr="00B45D20">
        <w:trPr>
          <w:trHeight w:val="284"/>
        </w:trPr>
        <w:tc>
          <w:tcPr>
            <w:tcW w:w="4678"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C035A0" w:rsidRDefault="00625719" w:rsidP="00F161D7">
            <w:pPr>
              <w:jc w:val="center"/>
              <w:rPr>
                <w:b/>
                <w:bCs/>
                <w:color w:val="000000"/>
                <w:sz w:val="14"/>
                <w:szCs w:val="20"/>
                <w:lang w:val="es-GT" w:eastAsia="es-GT"/>
              </w:rPr>
            </w:pPr>
            <w:r w:rsidRPr="00C035A0">
              <w:rPr>
                <w:b/>
                <w:bCs/>
                <w:color w:val="000000"/>
                <w:sz w:val="14"/>
                <w:szCs w:val="20"/>
                <w:lang w:val="es-GT" w:eastAsia="es-GT"/>
              </w:rPr>
              <w:t>DESCRIPCION</w:t>
            </w:r>
          </w:p>
        </w:tc>
        <w:tc>
          <w:tcPr>
            <w:tcW w:w="1418" w:type="dxa"/>
            <w:tcBorders>
              <w:top w:val="single" w:sz="8" w:space="0" w:color="auto"/>
              <w:left w:val="nil"/>
              <w:bottom w:val="single" w:sz="4" w:space="0" w:color="auto"/>
              <w:right w:val="single" w:sz="4" w:space="0" w:color="auto"/>
            </w:tcBorders>
            <w:shd w:val="clear" w:color="000000" w:fill="8DB4E2"/>
            <w:noWrap/>
            <w:hideMark/>
          </w:tcPr>
          <w:p w:rsidR="00625719" w:rsidRPr="00C035A0" w:rsidRDefault="00625719" w:rsidP="00F161D7">
            <w:pPr>
              <w:jc w:val="center"/>
              <w:rPr>
                <w:b/>
                <w:bCs/>
                <w:color w:val="000000"/>
                <w:sz w:val="14"/>
                <w:szCs w:val="20"/>
                <w:lang w:val="es-GT" w:eastAsia="es-GT"/>
              </w:rPr>
            </w:pPr>
            <w:r w:rsidRPr="00C035A0">
              <w:rPr>
                <w:b/>
                <w:bCs/>
                <w:color w:val="000000"/>
                <w:sz w:val="14"/>
                <w:szCs w:val="20"/>
                <w:lang w:val="es-GT" w:eastAsia="es-GT"/>
              </w:rPr>
              <w:t>ASIGNADO</w:t>
            </w:r>
          </w:p>
        </w:tc>
        <w:tc>
          <w:tcPr>
            <w:tcW w:w="1275" w:type="dxa"/>
            <w:tcBorders>
              <w:top w:val="single" w:sz="8" w:space="0" w:color="auto"/>
              <w:left w:val="nil"/>
              <w:bottom w:val="single" w:sz="4" w:space="0" w:color="auto"/>
              <w:right w:val="single" w:sz="4" w:space="0" w:color="auto"/>
            </w:tcBorders>
            <w:shd w:val="clear" w:color="000000" w:fill="8DB4E2"/>
            <w:noWrap/>
            <w:hideMark/>
          </w:tcPr>
          <w:p w:rsidR="00625719" w:rsidRPr="00C035A0" w:rsidRDefault="00625719" w:rsidP="00F161D7">
            <w:pPr>
              <w:jc w:val="center"/>
              <w:rPr>
                <w:b/>
                <w:bCs/>
                <w:color w:val="000000"/>
                <w:sz w:val="14"/>
                <w:szCs w:val="20"/>
                <w:lang w:val="es-GT" w:eastAsia="es-GT"/>
              </w:rPr>
            </w:pPr>
            <w:r w:rsidRPr="00C035A0">
              <w:rPr>
                <w:b/>
                <w:bCs/>
                <w:color w:val="000000"/>
                <w:sz w:val="14"/>
                <w:szCs w:val="20"/>
                <w:lang w:val="es-GT" w:eastAsia="es-GT"/>
              </w:rPr>
              <w:t>EJECUCIÓN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C035A0" w:rsidRDefault="00625719" w:rsidP="00F161D7">
            <w:pPr>
              <w:jc w:val="center"/>
              <w:rPr>
                <w:b/>
                <w:bCs/>
                <w:color w:val="000000"/>
                <w:sz w:val="14"/>
                <w:szCs w:val="20"/>
                <w:lang w:val="es-GT" w:eastAsia="es-GT"/>
              </w:rPr>
            </w:pPr>
            <w:r w:rsidRPr="00C035A0">
              <w:rPr>
                <w:b/>
                <w:bCs/>
                <w:color w:val="000000"/>
                <w:sz w:val="14"/>
                <w:szCs w:val="20"/>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hideMark/>
          </w:tcPr>
          <w:p w:rsidR="00625719" w:rsidRPr="00C035A0" w:rsidRDefault="00625719" w:rsidP="00F161D7">
            <w:pPr>
              <w:jc w:val="center"/>
              <w:rPr>
                <w:b/>
                <w:bCs/>
                <w:color w:val="000000"/>
                <w:sz w:val="14"/>
                <w:szCs w:val="20"/>
                <w:lang w:val="es-GT" w:eastAsia="es-GT"/>
              </w:rPr>
            </w:pPr>
            <w:r w:rsidRPr="00C035A0">
              <w:rPr>
                <w:b/>
                <w:bCs/>
                <w:color w:val="000000"/>
                <w:sz w:val="14"/>
                <w:szCs w:val="20"/>
                <w:lang w:val="es-GT" w:eastAsia="es-GT"/>
              </w:rPr>
              <w:t>% Ejec</w:t>
            </w:r>
          </w:p>
        </w:tc>
      </w:tr>
      <w:tr w:rsidR="00625719" w:rsidRPr="00C035A0" w:rsidTr="00B45D20">
        <w:trPr>
          <w:trHeight w:val="284"/>
        </w:trPr>
        <w:tc>
          <w:tcPr>
            <w:tcW w:w="4678" w:type="dxa"/>
            <w:tcBorders>
              <w:top w:val="nil"/>
              <w:left w:val="single" w:sz="8" w:space="0" w:color="auto"/>
              <w:bottom w:val="nil"/>
              <w:right w:val="single" w:sz="4" w:space="0" w:color="auto"/>
            </w:tcBorders>
            <w:shd w:val="clear" w:color="FFFFFF" w:fill="FFFFFF"/>
            <w:noWrap/>
            <w:vAlign w:val="center"/>
            <w:hideMark/>
          </w:tcPr>
          <w:p w:rsidR="00625719" w:rsidRPr="00C035A0" w:rsidRDefault="00625719" w:rsidP="00F161D7">
            <w:pPr>
              <w:rPr>
                <w:b/>
                <w:bCs/>
                <w:color w:val="333333"/>
                <w:sz w:val="14"/>
                <w:szCs w:val="20"/>
                <w:lang w:val="es-GT" w:eastAsia="es-GT"/>
              </w:rPr>
            </w:pPr>
            <w:r w:rsidRPr="00C035A0">
              <w:rPr>
                <w:b/>
                <w:bCs/>
                <w:color w:val="333333"/>
                <w:sz w:val="14"/>
                <w:szCs w:val="20"/>
                <w:lang w:val="es-GT" w:eastAsia="es-GT"/>
              </w:rPr>
              <w:t>MINISTERIO DE ECONOMÍA</w:t>
            </w:r>
          </w:p>
        </w:tc>
        <w:tc>
          <w:tcPr>
            <w:tcW w:w="1418"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b/>
                <w:bCs/>
                <w:color w:val="333333"/>
                <w:sz w:val="14"/>
                <w:szCs w:val="20"/>
                <w:lang w:val="es-GT" w:eastAsia="es-GT"/>
              </w:rPr>
            </w:pPr>
            <w:r w:rsidRPr="00C035A0">
              <w:rPr>
                <w:b/>
                <w:bCs/>
                <w:color w:val="333333"/>
                <w:sz w:val="14"/>
                <w:szCs w:val="20"/>
                <w:lang w:val="es-GT" w:eastAsia="es-GT"/>
              </w:rPr>
              <w:t>403.4</w:t>
            </w:r>
          </w:p>
        </w:tc>
        <w:tc>
          <w:tcPr>
            <w:tcW w:w="1275"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b/>
                <w:bCs/>
                <w:color w:val="333333"/>
                <w:sz w:val="14"/>
                <w:szCs w:val="20"/>
                <w:lang w:val="es-GT" w:eastAsia="es-GT"/>
              </w:rPr>
            </w:pPr>
            <w:r w:rsidRPr="00C035A0">
              <w:rPr>
                <w:b/>
                <w:bCs/>
                <w:color w:val="333333"/>
                <w:sz w:val="14"/>
                <w:szCs w:val="20"/>
                <w:lang w:val="es-GT" w:eastAsia="es-GT"/>
              </w:rPr>
              <w:t>350.6</w:t>
            </w:r>
          </w:p>
        </w:tc>
        <w:tc>
          <w:tcPr>
            <w:tcW w:w="1134"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b/>
                <w:bCs/>
                <w:color w:val="333333"/>
                <w:sz w:val="14"/>
                <w:szCs w:val="20"/>
                <w:lang w:val="es-GT" w:eastAsia="es-GT"/>
              </w:rPr>
            </w:pPr>
            <w:r w:rsidRPr="00C035A0">
              <w:rPr>
                <w:b/>
                <w:bCs/>
                <w:color w:val="333333"/>
                <w:sz w:val="14"/>
                <w:szCs w:val="20"/>
                <w:lang w:val="es-GT" w:eastAsia="es-GT"/>
              </w:rPr>
              <w:t>52.7</w:t>
            </w:r>
          </w:p>
        </w:tc>
        <w:tc>
          <w:tcPr>
            <w:tcW w:w="851" w:type="dxa"/>
            <w:tcBorders>
              <w:top w:val="nil"/>
              <w:left w:val="nil"/>
              <w:bottom w:val="nil"/>
              <w:right w:val="single" w:sz="8" w:space="0" w:color="auto"/>
            </w:tcBorders>
            <w:shd w:val="clear" w:color="FFFFFF" w:fill="FFFFFF"/>
            <w:noWrap/>
            <w:vAlign w:val="center"/>
            <w:hideMark/>
          </w:tcPr>
          <w:p w:rsidR="00625719" w:rsidRPr="00C035A0" w:rsidRDefault="00625719" w:rsidP="00F161D7">
            <w:pPr>
              <w:jc w:val="right"/>
              <w:rPr>
                <w:b/>
                <w:bCs/>
                <w:color w:val="333333"/>
                <w:sz w:val="14"/>
                <w:szCs w:val="20"/>
                <w:lang w:val="es-GT" w:eastAsia="es-GT"/>
              </w:rPr>
            </w:pPr>
            <w:r w:rsidRPr="00C035A0">
              <w:rPr>
                <w:b/>
                <w:bCs/>
                <w:color w:val="333333"/>
                <w:sz w:val="14"/>
                <w:szCs w:val="20"/>
                <w:lang w:val="es-GT" w:eastAsia="es-GT"/>
              </w:rPr>
              <w:t>86.9%</w:t>
            </w:r>
          </w:p>
        </w:tc>
      </w:tr>
      <w:tr w:rsidR="00625719" w:rsidRPr="00C035A0" w:rsidTr="00B45D20">
        <w:trPr>
          <w:trHeight w:val="284"/>
        </w:trPr>
        <w:tc>
          <w:tcPr>
            <w:tcW w:w="4678" w:type="dxa"/>
            <w:tcBorders>
              <w:top w:val="nil"/>
              <w:left w:val="single" w:sz="8" w:space="0" w:color="auto"/>
              <w:bottom w:val="nil"/>
              <w:right w:val="single" w:sz="4" w:space="0" w:color="auto"/>
            </w:tcBorders>
            <w:shd w:val="clear" w:color="FFFFFF" w:fill="FFFFFF"/>
            <w:noWrap/>
            <w:vAlign w:val="center"/>
            <w:hideMark/>
          </w:tcPr>
          <w:p w:rsidR="00625719" w:rsidRPr="00C035A0" w:rsidRDefault="00625719" w:rsidP="00F161D7">
            <w:pPr>
              <w:ind w:firstLineChars="200" w:firstLine="280"/>
              <w:rPr>
                <w:color w:val="333333"/>
                <w:sz w:val="14"/>
                <w:szCs w:val="20"/>
                <w:lang w:val="es-GT" w:eastAsia="es-GT"/>
              </w:rPr>
            </w:pPr>
            <w:r w:rsidRPr="00C035A0">
              <w:rPr>
                <w:color w:val="333333"/>
                <w:sz w:val="14"/>
                <w:szCs w:val="20"/>
                <w:lang w:val="es-GT" w:eastAsia="es-GT"/>
              </w:rPr>
              <w:t>PARTIDAS NO ASIGNABLES A PROGRAMAS</w:t>
            </w:r>
          </w:p>
        </w:tc>
        <w:tc>
          <w:tcPr>
            <w:tcW w:w="1418"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86.3</w:t>
            </w:r>
          </w:p>
        </w:tc>
        <w:tc>
          <w:tcPr>
            <w:tcW w:w="1275"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86.4</w:t>
            </w:r>
          </w:p>
        </w:tc>
        <w:tc>
          <w:tcPr>
            <w:tcW w:w="1134"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0.0</w:t>
            </w:r>
          </w:p>
        </w:tc>
        <w:tc>
          <w:tcPr>
            <w:tcW w:w="851" w:type="dxa"/>
            <w:tcBorders>
              <w:top w:val="nil"/>
              <w:left w:val="nil"/>
              <w:bottom w:val="nil"/>
              <w:right w:val="single" w:sz="8"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100.0%</w:t>
            </w:r>
          </w:p>
        </w:tc>
      </w:tr>
      <w:tr w:rsidR="00625719" w:rsidRPr="00C035A0" w:rsidTr="00B45D20">
        <w:trPr>
          <w:trHeight w:val="284"/>
        </w:trPr>
        <w:tc>
          <w:tcPr>
            <w:tcW w:w="4678" w:type="dxa"/>
            <w:tcBorders>
              <w:top w:val="nil"/>
              <w:left w:val="single" w:sz="8" w:space="0" w:color="auto"/>
              <w:bottom w:val="nil"/>
              <w:right w:val="single" w:sz="4" w:space="0" w:color="auto"/>
            </w:tcBorders>
            <w:shd w:val="clear" w:color="FFFFFF" w:fill="FFFFFF"/>
            <w:noWrap/>
            <w:vAlign w:val="center"/>
            <w:hideMark/>
          </w:tcPr>
          <w:p w:rsidR="00625719" w:rsidRPr="00C035A0" w:rsidRDefault="00625719" w:rsidP="00F161D7">
            <w:pPr>
              <w:ind w:firstLineChars="200" w:firstLine="280"/>
              <w:rPr>
                <w:color w:val="333333"/>
                <w:sz w:val="14"/>
                <w:szCs w:val="20"/>
                <w:lang w:val="es-GT" w:eastAsia="es-GT"/>
              </w:rPr>
            </w:pPr>
            <w:r w:rsidRPr="00C035A0">
              <w:rPr>
                <w:color w:val="333333"/>
                <w:sz w:val="14"/>
                <w:szCs w:val="20"/>
                <w:lang w:val="es-GT" w:eastAsia="es-GT"/>
              </w:rPr>
              <w:t>ACTIVIDADES CENTRALES</w:t>
            </w:r>
          </w:p>
        </w:tc>
        <w:tc>
          <w:tcPr>
            <w:tcW w:w="1418"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57.4</w:t>
            </w:r>
          </w:p>
        </w:tc>
        <w:tc>
          <w:tcPr>
            <w:tcW w:w="1275"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62.9</w:t>
            </w:r>
          </w:p>
        </w:tc>
        <w:tc>
          <w:tcPr>
            <w:tcW w:w="1134"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-5.6</w:t>
            </w:r>
          </w:p>
        </w:tc>
        <w:tc>
          <w:tcPr>
            <w:tcW w:w="851" w:type="dxa"/>
            <w:tcBorders>
              <w:top w:val="nil"/>
              <w:left w:val="nil"/>
              <w:bottom w:val="nil"/>
              <w:right w:val="single" w:sz="8"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109.7%</w:t>
            </w:r>
          </w:p>
        </w:tc>
      </w:tr>
      <w:tr w:rsidR="00625719" w:rsidRPr="00C035A0" w:rsidTr="00B45D20">
        <w:trPr>
          <w:trHeight w:val="284"/>
        </w:trPr>
        <w:tc>
          <w:tcPr>
            <w:tcW w:w="4678" w:type="dxa"/>
            <w:tcBorders>
              <w:top w:val="nil"/>
              <w:left w:val="single" w:sz="8" w:space="0" w:color="auto"/>
              <w:bottom w:val="nil"/>
              <w:right w:val="single" w:sz="4" w:space="0" w:color="auto"/>
            </w:tcBorders>
            <w:shd w:val="clear" w:color="FFFFFF" w:fill="FFFFFF"/>
            <w:vAlign w:val="center"/>
            <w:hideMark/>
          </w:tcPr>
          <w:p w:rsidR="00625719" w:rsidRPr="00C035A0" w:rsidRDefault="00625719" w:rsidP="00F161D7">
            <w:pPr>
              <w:ind w:firstLineChars="200" w:firstLine="280"/>
              <w:rPr>
                <w:color w:val="333333"/>
                <w:sz w:val="14"/>
                <w:szCs w:val="20"/>
                <w:lang w:val="es-GT" w:eastAsia="es-GT"/>
              </w:rPr>
            </w:pPr>
            <w:r w:rsidRPr="00C035A0">
              <w:rPr>
                <w:color w:val="333333"/>
                <w:sz w:val="14"/>
                <w:szCs w:val="20"/>
                <w:lang w:val="es-GT" w:eastAsia="es-GT"/>
              </w:rPr>
              <w:t>GESTION DE LA INTEGRACION ECONOMICA Y COMERCIO EXTERIOR</w:t>
            </w:r>
          </w:p>
        </w:tc>
        <w:tc>
          <w:tcPr>
            <w:tcW w:w="1418"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83.5</w:t>
            </w:r>
          </w:p>
        </w:tc>
        <w:tc>
          <w:tcPr>
            <w:tcW w:w="1275"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62.0</w:t>
            </w:r>
          </w:p>
        </w:tc>
        <w:tc>
          <w:tcPr>
            <w:tcW w:w="1134"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21.5</w:t>
            </w:r>
          </w:p>
        </w:tc>
        <w:tc>
          <w:tcPr>
            <w:tcW w:w="851" w:type="dxa"/>
            <w:tcBorders>
              <w:top w:val="nil"/>
              <w:left w:val="nil"/>
              <w:bottom w:val="nil"/>
              <w:right w:val="single" w:sz="8"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74.2%</w:t>
            </w:r>
          </w:p>
        </w:tc>
      </w:tr>
      <w:tr w:rsidR="00625719" w:rsidRPr="00C035A0" w:rsidTr="00B45D20">
        <w:trPr>
          <w:trHeight w:val="284"/>
        </w:trPr>
        <w:tc>
          <w:tcPr>
            <w:tcW w:w="4678" w:type="dxa"/>
            <w:tcBorders>
              <w:top w:val="nil"/>
              <w:left w:val="single" w:sz="8" w:space="0" w:color="auto"/>
              <w:bottom w:val="nil"/>
              <w:right w:val="single" w:sz="4" w:space="0" w:color="auto"/>
            </w:tcBorders>
            <w:shd w:val="clear" w:color="FFFFFF" w:fill="FFFFFF"/>
            <w:noWrap/>
            <w:vAlign w:val="center"/>
            <w:hideMark/>
          </w:tcPr>
          <w:p w:rsidR="00625719" w:rsidRPr="00C035A0" w:rsidRDefault="00625719" w:rsidP="00F161D7">
            <w:pPr>
              <w:ind w:firstLineChars="200" w:firstLine="280"/>
              <w:rPr>
                <w:color w:val="333333"/>
                <w:sz w:val="14"/>
                <w:szCs w:val="20"/>
                <w:lang w:val="es-GT" w:eastAsia="es-GT"/>
              </w:rPr>
            </w:pPr>
            <w:r w:rsidRPr="00C035A0">
              <w:rPr>
                <w:color w:val="333333"/>
                <w:sz w:val="14"/>
                <w:szCs w:val="20"/>
                <w:lang w:val="es-GT" w:eastAsia="es-GT"/>
              </w:rPr>
              <w:t>SERVICIOS REGISTRALES</w:t>
            </w:r>
          </w:p>
        </w:tc>
        <w:tc>
          <w:tcPr>
            <w:tcW w:w="1418"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72.8</w:t>
            </w:r>
          </w:p>
        </w:tc>
        <w:tc>
          <w:tcPr>
            <w:tcW w:w="1275"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44.2</w:t>
            </w:r>
          </w:p>
        </w:tc>
        <w:tc>
          <w:tcPr>
            <w:tcW w:w="1134"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28.5</w:t>
            </w:r>
          </w:p>
        </w:tc>
        <w:tc>
          <w:tcPr>
            <w:tcW w:w="851" w:type="dxa"/>
            <w:tcBorders>
              <w:top w:val="nil"/>
              <w:left w:val="nil"/>
              <w:bottom w:val="nil"/>
              <w:right w:val="single" w:sz="8"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60.8%</w:t>
            </w:r>
          </w:p>
        </w:tc>
      </w:tr>
      <w:tr w:rsidR="00625719" w:rsidRPr="00C035A0" w:rsidTr="00B45D20">
        <w:trPr>
          <w:trHeight w:val="284"/>
        </w:trPr>
        <w:tc>
          <w:tcPr>
            <w:tcW w:w="4678" w:type="dxa"/>
            <w:tcBorders>
              <w:top w:val="nil"/>
              <w:left w:val="single" w:sz="8" w:space="0" w:color="auto"/>
              <w:bottom w:val="nil"/>
              <w:right w:val="single" w:sz="4" w:space="0" w:color="auto"/>
            </w:tcBorders>
            <w:shd w:val="clear" w:color="FFFFFF" w:fill="FFFFFF"/>
            <w:vAlign w:val="center"/>
            <w:hideMark/>
          </w:tcPr>
          <w:p w:rsidR="00625719" w:rsidRPr="00C035A0" w:rsidRDefault="00625719" w:rsidP="00F161D7">
            <w:pPr>
              <w:ind w:firstLineChars="200" w:firstLine="280"/>
              <w:rPr>
                <w:color w:val="333333"/>
                <w:sz w:val="14"/>
                <w:szCs w:val="20"/>
                <w:lang w:val="es-GT" w:eastAsia="es-GT"/>
              </w:rPr>
            </w:pPr>
            <w:r w:rsidRPr="00C035A0">
              <w:rPr>
                <w:color w:val="333333"/>
                <w:sz w:val="14"/>
                <w:szCs w:val="20"/>
                <w:lang w:val="es-GT" w:eastAsia="es-GT"/>
              </w:rPr>
              <w:t>DESARROLLO DE LA MICRO, PEQUEÑA Y MEDIANA EMPRESA</w:t>
            </w:r>
          </w:p>
        </w:tc>
        <w:tc>
          <w:tcPr>
            <w:tcW w:w="1418"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53.1</w:t>
            </w:r>
          </w:p>
        </w:tc>
        <w:tc>
          <w:tcPr>
            <w:tcW w:w="1275"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39.4</w:t>
            </w:r>
          </w:p>
        </w:tc>
        <w:tc>
          <w:tcPr>
            <w:tcW w:w="1134"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13.7</w:t>
            </w:r>
          </w:p>
        </w:tc>
        <w:tc>
          <w:tcPr>
            <w:tcW w:w="851" w:type="dxa"/>
            <w:tcBorders>
              <w:top w:val="nil"/>
              <w:left w:val="nil"/>
              <w:bottom w:val="nil"/>
              <w:right w:val="single" w:sz="8"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74.2%</w:t>
            </w:r>
          </w:p>
        </w:tc>
      </w:tr>
      <w:tr w:rsidR="00625719" w:rsidRPr="00C035A0" w:rsidTr="00B45D20">
        <w:trPr>
          <w:trHeight w:val="284"/>
        </w:trPr>
        <w:tc>
          <w:tcPr>
            <w:tcW w:w="4678" w:type="dxa"/>
            <w:tcBorders>
              <w:top w:val="nil"/>
              <w:left w:val="single" w:sz="8" w:space="0" w:color="auto"/>
              <w:bottom w:val="nil"/>
              <w:right w:val="single" w:sz="4" w:space="0" w:color="auto"/>
            </w:tcBorders>
            <w:shd w:val="clear" w:color="FFFFFF" w:fill="FFFFFF"/>
            <w:vAlign w:val="center"/>
            <w:hideMark/>
          </w:tcPr>
          <w:p w:rsidR="00625719" w:rsidRPr="00C035A0" w:rsidRDefault="00625719" w:rsidP="00F161D7">
            <w:pPr>
              <w:ind w:firstLineChars="200" w:firstLine="280"/>
              <w:rPr>
                <w:color w:val="333333"/>
                <w:sz w:val="14"/>
                <w:szCs w:val="20"/>
                <w:lang w:val="es-GT" w:eastAsia="es-GT"/>
              </w:rPr>
            </w:pPr>
            <w:r w:rsidRPr="00C035A0">
              <w:rPr>
                <w:color w:val="333333"/>
                <w:sz w:val="14"/>
                <w:szCs w:val="20"/>
                <w:lang w:val="es-GT" w:eastAsia="es-GT"/>
              </w:rPr>
              <w:t>PROMOCION DE LA INVERSION Y COMPETENCIA</w:t>
            </w:r>
          </w:p>
        </w:tc>
        <w:tc>
          <w:tcPr>
            <w:tcW w:w="1418"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31.4</w:t>
            </w:r>
          </w:p>
        </w:tc>
        <w:tc>
          <w:tcPr>
            <w:tcW w:w="1275"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34.7</w:t>
            </w:r>
          </w:p>
        </w:tc>
        <w:tc>
          <w:tcPr>
            <w:tcW w:w="1134" w:type="dxa"/>
            <w:tcBorders>
              <w:top w:val="nil"/>
              <w:left w:val="nil"/>
              <w:bottom w:val="nil"/>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-3.3</w:t>
            </w:r>
          </w:p>
        </w:tc>
        <w:tc>
          <w:tcPr>
            <w:tcW w:w="851" w:type="dxa"/>
            <w:tcBorders>
              <w:top w:val="nil"/>
              <w:left w:val="nil"/>
              <w:bottom w:val="nil"/>
              <w:right w:val="single" w:sz="8"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110.4%</w:t>
            </w:r>
          </w:p>
        </w:tc>
      </w:tr>
      <w:tr w:rsidR="00625719" w:rsidRPr="00C035A0" w:rsidTr="00B45D20">
        <w:trPr>
          <w:trHeight w:val="284"/>
        </w:trPr>
        <w:tc>
          <w:tcPr>
            <w:tcW w:w="4678" w:type="dxa"/>
            <w:tcBorders>
              <w:top w:val="nil"/>
              <w:left w:val="single" w:sz="8" w:space="0" w:color="auto"/>
              <w:bottom w:val="single" w:sz="8" w:space="0" w:color="auto"/>
              <w:right w:val="single" w:sz="4" w:space="0" w:color="auto"/>
            </w:tcBorders>
            <w:shd w:val="clear" w:color="FFFFFF" w:fill="FFFFFF"/>
            <w:vAlign w:val="center"/>
            <w:hideMark/>
          </w:tcPr>
          <w:p w:rsidR="00625719" w:rsidRPr="00C035A0" w:rsidRDefault="00625719" w:rsidP="00F161D7">
            <w:pPr>
              <w:ind w:firstLineChars="200" w:firstLine="280"/>
              <w:rPr>
                <w:color w:val="333333"/>
                <w:sz w:val="14"/>
                <w:szCs w:val="20"/>
                <w:lang w:val="es-GT" w:eastAsia="es-GT"/>
              </w:rPr>
            </w:pPr>
            <w:r w:rsidRPr="00C035A0">
              <w:rPr>
                <w:color w:val="333333"/>
                <w:sz w:val="14"/>
                <w:szCs w:val="20"/>
                <w:lang w:val="es-GT" w:eastAsia="es-GT"/>
              </w:rPr>
              <w:t>ASISTENCIA Y PROTECCION AL CONSUMIDOR Y SUPERVISION DEL COMERCIO INTERNO</w:t>
            </w:r>
          </w:p>
        </w:tc>
        <w:tc>
          <w:tcPr>
            <w:tcW w:w="1418"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18.9</w:t>
            </w:r>
          </w:p>
        </w:tc>
        <w:tc>
          <w:tcPr>
            <w:tcW w:w="1275" w:type="dxa"/>
            <w:tcBorders>
              <w:top w:val="nil"/>
              <w:left w:val="nil"/>
              <w:bottom w:val="single" w:sz="8" w:space="0" w:color="auto"/>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21.0</w:t>
            </w:r>
          </w:p>
        </w:tc>
        <w:tc>
          <w:tcPr>
            <w:tcW w:w="1134"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-2.2</w:t>
            </w:r>
          </w:p>
        </w:tc>
        <w:tc>
          <w:tcPr>
            <w:tcW w:w="851" w:type="dxa"/>
            <w:tcBorders>
              <w:top w:val="nil"/>
              <w:left w:val="single" w:sz="4" w:space="0" w:color="auto"/>
              <w:bottom w:val="single" w:sz="8" w:space="0" w:color="auto"/>
              <w:right w:val="single" w:sz="8" w:space="0" w:color="auto"/>
            </w:tcBorders>
            <w:shd w:val="clear" w:color="FFFFFF" w:fill="FFFFFF"/>
            <w:noWrap/>
            <w:vAlign w:val="center"/>
            <w:hideMark/>
          </w:tcPr>
          <w:p w:rsidR="00625719" w:rsidRPr="00C035A0" w:rsidRDefault="00625719" w:rsidP="00F161D7">
            <w:pPr>
              <w:jc w:val="right"/>
              <w:rPr>
                <w:color w:val="333333"/>
                <w:sz w:val="14"/>
                <w:szCs w:val="20"/>
                <w:lang w:val="es-GT" w:eastAsia="es-GT"/>
              </w:rPr>
            </w:pPr>
            <w:r w:rsidRPr="00C035A0">
              <w:rPr>
                <w:color w:val="333333"/>
                <w:sz w:val="14"/>
                <w:szCs w:val="20"/>
                <w:lang w:val="es-GT" w:eastAsia="es-GT"/>
              </w:rPr>
              <w:t>111.5%</w:t>
            </w: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Pr="00D108FD" w:rsidRDefault="00625719" w:rsidP="00625719">
      <w:pPr>
        <w:jc w:val="both"/>
      </w:pPr>
    </w:p>
    <w:p w:rsidR="00625719" w:rsidRDefault="00625719" w:rsidP="00625719">
      <w:pPr>
        <w:jc w:val="both"/>
        <w:rPr>
          <w:b/>
        </w:rPr>
      </w:pPr>
      <w:r w:rsidRPr="00D108FD">
        <w:rPr>
          <w:b/>
        </w:rPr>
        <w:t>Ministerio de Agricultura, Ganadería y Alimentación</w:t>
      </w:r>
      <w:r>
        <w:rPr>
          <w:b/>
        </w:rPr>
        <w:t>:</w:t>
      </w:r>
    </w:p>
    <w:p w:rsidR="00625719" w:rsidRPr="00D108FD" w:rsidRDefault="00625719" w:rsidP="00625719">
      <w:pPr>
        <w:jc w:val="both"/>
        <w:rPr>
          <w:b/>
        </w:rPr>
      </w:pPr>
    </w:p>
    <w:p w:rsidR="00625719" w:rsidRDefault="00625719" w:rsidP="00625719">
      <w:pPr>
        <w:jc w:val="both"/>
      </w:pPr>
      <w:r w:rsidRPr="00D108FD">
        <w:t>El M</w:t>
      </w:r>
      <w:r>
        <w:t>inisterio de Agricultura, Ganadería y Alimentación</w:t>
      </w:r>
      <w:r w:rsidRPr="00D108FD">
        <w:t xml:space="preserve"> tuvo un presupuesto</w:t>
      </w:r>
      <w:r>
        <w:t xml:space="preserve"> aprobado</w:t>
      </w:r>
      <w:r w:rsidRPr="00D108FD">
        <w:t xml:space="preserve"> de </w:t>
      </w:r>
      <w:r>
        <w:t>Q</w:t>
      </w:r>
      <w:r w:rsidR="008A4EC5">
        <w:t>.</w:t>
      </w:r>
      <w:r w:rsidRPr="00D108FD">
        <w:t>1,</w:t>
      </w:r>
      <w:r>
        <w:t>365.4</w:t>
      </w:r>
      <w:r w:rsidRPr="00D108FD">
        <w:t xml:space="preserve"> millones y una ejecución presupuestaria de </w:t>
      </w:r>
      <w:r>
        <w:t>Q</w:t>
      </w:r>
      <w:r w:rsidR="008A4EC5">
        <w:t>.</w:t>
      </w:r>
      <w:r w:rsidRPr="00D108FD">
        <w:t>1,</w:t>
      </w:r>
      <w:r>
        <w:t>308.3</w:t>
      </w:r>
      <w:r w:rsidRPr="00D108FD">
        <w:t xml:space="preserve"> millones equivalente al 9</w:t>
      </w:r>
      <w:r>
        <w:t>5.8</w:t>
      </w:r>
      <w:r w:rsidRPr="00D108FD">
        <w:t>%</w:t>
      </w:r>
      <w:r>
        <w:t>.</w:t>
      </w:r>
    </w:p>
    <w:p w:rsidR="00625719" w:rsidRPr="00D108FD" w:rsidRDefault="00625719" w:rsidP="00625719">
      <w:pPr>
        <w:jc w:val="both"/>
      </w:pPr>
    </w:p>
    <w:p w:rsidR="00625719" w:rsidRDefault="00625719" w:rsidP="00625719">
      <w:pPr>
        <w:jc w:val="both"/>
      </w:pPr>
      <w:r w:rsidRPr="00D108FD">
        <w:t xml:space="preserve">De acuerdo </w:t>
      </w:r>
      <w:r>
        <w:t>a</w:t>
      </w:r>
      <w:r w:rsidRPr="00D108FD">
        <w:t>l S</w:t>
      </w:r>
      <w:r w:rsidR="008A4EC5">
        <w:t>ICOIN</w:t>
      </w:r>
      <w:r w:rsidRPr="00D108FD">
        <w:t xml:space="preserve">, los programas prioritarios para las funciones esenciales de este ministerio, “Apoyo a la Agricultura Familiar” el cual tuvo un presupuesto </w:t>
      </w:r>
      <w:r>
        <w:t xml:space="preserve">aprobado </w:t>
      </w:r>
      <w:r w:rsidRPr="00D108FD">
        <w:t xml:space="preserve">de </w:t>
      </w:r>
      <w:r>
        <w:t>Q</w:t>
      </w:r>
      <w:r w:rsidR="008A4EC5">
        <w:t>.</w:t>
      </w:r>
      <w:r>
        <w:t>601.7 millones</w:t>
      </w:r>
      <w:r w:rsidRPr="00D108FD">
        <w:t xml:space="preserve"> y una ejecución presupuestaria de </w:t>
      </w:r>
      <w:r>
        <w:t>Q</w:t>
      </w:r>
      <w:r w:rsidR="008A4EC5">
        <w:t>.</w:t>
      </w:r>
      <w:r w:rsidRPr="00D108FD">
        <w:t>5</w:t>
      </w:r>
      <w:r>
        <w:t>9</w:t>
      </w:r>
      <w:r w:rsidRPr="00D108FD">
        <w:t>7.</w:t>
      </w:r>
      <w:r>
        <w:t>8</w:t>
      </w:r>
      <w:r w:rsidRPr="00D108FD">
        <w:t xml:space="preserve"> millones equivalentes al 9</w:t>
      </w:r>
      <w:r>
        <w:t>9.</w:t>
      </w:r>
      <w:r w:rsidRPr="00D108FD">
        <w:t>3%.</w:t>
      </w:r>
    </w:p>
    <w:p w:rsidR="00625719" w:rsidRPr="00D108FD" w:rsidRDefault="00625719" w:rsidP="00625719">
      <w:pPr>
        <w:jc w:val="both"/>
      </w:pPr>
    </w:p>
    <w:p w:rsidR="00625719" w:rsidRDefault="00625719" w:rsidP="00625719">
      <w:pPr>
        <w:jc w:val="both"/>
      </w:pPr>
      <w:r w:rsidRPr="00D108FD">
        <w:t xml:space="preserve">El programa de “Apoyo a la Productividad y Competitividad Agropecuaria e Hidrobiológica” tuvo un presupuesto de </w:t>
      </w:r>
      <w:r>
        <w:t>Q</w:t>
      </w:r>
      <w:r w:rsidR="008A4EC5">
        <w:t>.</w:t>
      </w:r>
      <w:r>
        <w:t>323.1</w:t>
      </w:r>
      <w:r w:rsidRPr="00D108FD">
        <w:t xml:space="preserve"> millones y una ejecución presupuestaria de </w:t>
      </w:r>
      <w:r>
        <w:t>Q</w:t>
      </w:r>
      <w:r w:rsidR="008A4EC5">
        <w:t>.</w:t>
      </w:r>
      <w:r w:rsidRPr="00D108FD">
        <w:t>24</w:t>
      </w:r>
      <w:r>
        <w:t xml:space="preserve">1.3 </w:t>
      </w:r>
      <w:r w:rsidRPr="00D108FD">
        <w:t xml:space="preserve">millones equivalente al </w:t>
      </w:r>
      <w:r>
        <w:t>7</w:t>
      </w:r>
      <w:r w:rsidRPr="00D108FD">
        <w:t>4.7%.</w:t>
      </w:r>
    </w:p>
    <w:p w:rsidR="00625719" w:rsidRPr="00D108FD" w:rsidRDefault="00625719" w:rsidP="00625719">
      <w:pPr>
        <w:jc w:val="both"/>
      </w:pPr>
    </w:p>
    <w:p w:rsidR="00625719" w:rsidRDefault="00625719" w:rsidP="00625719">
      <w:pPr>
        <w:jc w:val="both"/>
      </w:pPr>
      <w:r w:rsidRPr="00D108FD">
        <w:t xml:space="preserve">Las Actividades Centrales </w:t>
      </w:r>
      <w:r>
        <w:t>con presupuesto aprobado de Q</w:t>
      </w:r>
      <w:r w:rsidR="005563ED">
        <w:t>.</w:t>
      </w:r>
      <w:r>
        <w:t>141.1</w:t>
      </w:r>
      <w:r w:rsidRPr="00D108FD">
        <w:t xml:space="preserve"> millones y una ejecución presupuestaria de </w:t>
      </w:r>
      <w:r>
        <w:t>Q</w:t>
      </w:r>
      <w:r w:rsidR="005563ED">
        <w:t>.</w:t>
      </w:r>
      <w:r>
        <w:t>134.4</w:t>
      </w:r>
      <w:r w:rsidRPr="00D108FD">
        <w:t xml:space="preserve"> millones equivalente a un 9</w:t>
      </w:r>
      <w:r>
        <w:t>5.2</w:t>
      </w:r>
      <w:r w:rsidRPr="00D108FD">
        <w:t>%</w:t>
      </w:r>
      <w:r>
        <w:t>.</w:t>
      </w:r>
    </w:p>
    <w:p w:rsidR="00625719" w:rsidRPr="00D108FD" w:rsidRDefault="00625719" w:rsidP="00625719">
      <w:pPr>
        <w:jc w:val="both"/>
      </w:pPr>
    </w:p>
    <w:p w:rsidR="00625719" w:rsidRDefault="00625719" w:rsidP="00625719">
      <w:pPr>
        <w:jc w:val="both"/>
      </w:pPr>
      <w:r w:rsidRPr="00D108FD">
        <w:t>E</w:t>
      </w:r>
      <w:r>
        <w:t xml:space="preserve">ste Ministerio </w:t>
      </w:r>
      <w:r w:rsidRPr="00D108FD">
        <w:t>con</w:t>
      </w:r>
      <w:r>
        <w:t>sideró</w:t>
      </w:r>
      <w:r w:rsidRPr="00D108FD">
        <w:t xml:space="preserve"> </w:t>
      </w:r>
      <w:r>
        <w:t>“</w:t>
      </w:r>
      <w:r w:rsidRPr="00D108FD">
        <w:t>Partidas No Asignables a Programas</w:t>
      </w:r>
      <w:r>
        <w:t>”</w:t>
      </w:r>
      <w:r w:rsidRPr="00D108FD">
        <w:t xml:space="preserve"> con un presupuesto</w:t>
      </w:r>
      <w:r>
        <w:t xml:space="preserve"> aprobado</w:t>
      </w:r>
      <w:r w:rsidRPr="00D108FD">
        <w:t xml:space="preserve"> de </w:t>
      </w:r>
      <w:r>
        <w:t>Q</w:t>
      </w:r>
      <w:r w:rsidR="005563ED">
        <w:t>.</w:t>
      </w:r>
      <w:r w:rsidRPr="00D108FD">
        <w:t>24</w:t>
      </w:r>
      <w:r>
        <w:t xml:space="preserve">4.1 </w:t>
      </w:r>
      <w:r w:rsidRPr="00D108FD">
        <w:t xml:space="preserve">millones y una ejecución presupuestaria de </w:t>
      </w:r>
      <w:r>
        <w:t>Q</w:t>
      </w:r>
      <w:r w:rsidR="005563ED">
        <w:t>.</w:t>
      </w:r>
      <w:r w:rsidRPr="00D108FD">
        <w:t>2</w:t>
      </w:r>
      <w:r>
        <w:t>53.5</w:t>
      </w:r>
      <w:r w:rsidRPr="00D108FD">
        <w:t xml:space="preserve"> millones equivalente al </w:t>
      </w:r>
      <w:r>
        <w:t>103.</w:t>
      </w:r>
      <w:r w:rsidRPr="00D108FD">
        <w:t>9%</w:t>
      </w:r>
      <w:r>
        <w:t>.</w:t>
      </w:r>
    </w:p>
    <w:p w:rsidR="00625719" w:rsidRPr="00D108FD" w:rsidRDefault="00625719" w:rsidP="00625719">
      <w:pPr>
        <w:jc w:val="both"/>
      </w:pPr>
    </w:p>
    <w:p w:rsidR="00625719" w:rsidRDefault="00625719" w:rsidP="00625719">
      <w:pPr>
        <w:jc w:val="both"/>
      </w:pPr>
      <w:r w:rsidRPr="00D108FD">
        <w:t xml:space="preserve">Los restantes 2 programas tuvieron una ejecución presupuestaria por debajo de </w:t>
      </w:r>
      <w:r>
        <w:t>Q</w:t>
      </w:r>
      <w:r w:rsidR="005563ED">
        <w:t>.</w:t>
      </w:r>
      <w:r>
        <w:t>80.9</w:t>
      </w:r>
      <w:r w:rsidRPr="00D108FD">
        <w:t xml:space="preserve"> millones</w:t>
      </w:r>
      <w:r>
        <w:t xml:space="preserve"> del programa “Desarrollo Sostenible de los Recursos Naturales”</w:t>
      </w:r>
      <w:r w:rsidRPr="00D108FD">
        <w:t>, según se observa en el cuadro a continuación.</w:t>
      </w: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Programa!F104C2:F111C6" \a \f 4 \h  \* MERGEFORMAT </w:instrText>
      </w:r>
      <w:r>
        <w:rPr>
          <w:noProof/>
          <w:lang w:val="es-GT" w:eastAsia="es-GT"/>
        </w:rPr>
        <w:fldChar w:fldCharType="separate"/>
      </w:r>
    </w:p>
    <w:tbl>
      <w:tblPr>
        <w:tblW w:w="9498" w:type="dxa"/>
        <w:tblInd w:w="70" w:type="dxa"/>
        <w:tblCellMar>
          <w:left w:w="70" w:type="dxa"/>
          <w:right w:w="70" w:type="dxa"/>
        </w:tblCellMar>
        <w:tblLook w:val="04A0" w:firstRow="1" w:lastRow="0" w:firstColumn="1" w:lastColumn="0" w:noHBand="0" w:noVBand="1"/>
      </w:tblPr>
      <w:tblGrid>
        <w:gridCol w:w="5790"/>
        <w:gridCol w:w="1014"/>
        <w:gridCol w:w="993"/>
        <w:gridCol w:w="850"/>
        <w:gridCol w:w="851"/>
      </w:tblGrid>
      <w:tr w:rsidR="00625719" w:rsidRPr="002B1D6C" w:rsidTr="00E436B5">
        <w:trPr>
          <w:trHeight w:val="284"/>
        </w:trPr>
        <w:tc>
          <w:tcPr>
            <w:tcW w:w="5790"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2B1D6C" w:rsidRDefault="00625719" w:rsidP="00F161D7">
            <w:pPr>
              <w:jc w:val="center"/>
              <w:rPr>
                <w:b/>
                <w:bCs/>
                <w:color w:val="000000"/>
                <w:sz w:val="12"/>
                <w:szCs w:val="20"/>
                <w:lang w:val="es-GT" w:eastAsia="es-GT"/>
              </w:rPr>
            </w:pPr>
            <w:r w:rsidRPr="002B1D6C">
              <w:rPr>
                <w:b/>
                <w:bCs/>
                <w:color w:val="000000"/>
                <w:sz w:val="12"/>
                <w:szCs w:val="20"/>
                <w:lang w:val="es-GT" w:eastAsia="es-GT"/>
              </w:rPr>
              <w:t>DESCRIPCION</w:t>
            </w:r>
          </w:p>
        </w:tc>
        <w:tc>
          <w:tcPr>
            <w:tcW w:w="1014" w:type="dxa"/>
            <w:tcBorders>
              <w:top w:val="single" w:sz="8" w:space="0" w:color="auto"/>
              <w:left w:val="nil"/>
              <w:bottom w:val="single" w:sz="4" w:space="0" w:color="auto"/>
              <w:right w:val="single" w:sz="4" w:space="0" w:color="auto"/>
            </w:tcBorders>
            <w:shd w:val="clear" w:color="000000" w:fill="8DB4E2"/>
            <w:noWrap/>
            <w:hideMark/>
          </w:tcPr>
          <w:p w:rsidR="00625719" w:rsidRPr="002B1D6C" w:rsidRDefault="00625719" w:rsidP="00F161D7">
            <w:pPr>
              <w:jc w:val="center"/>
              <w:rPr>
                <w:b/>
                <w:bCs/>
                <w:color w:val="000000"/>
                <w:sz w:val="12"/>
                <w:szCs w:val="20"/>
                <w:lang w:val="es-GT" w:eastAsia="es-GT"/>
              </w:rPr>
            </w:pPr>
            <w:r w:rsidRPr="002B1D6C">
              <w:rPr>
                <w:b/>
                <w:bCs/>
                <w:color w:val="000000"/>
                <w:sz w:val="12"/>
                <w:szCs w:val="20"/>
                <w:lang w:val="es-GT" w:eastAsia="es-GT"/>
              </w:rPr>
              <w:t>ASIGNADO</w:t>
            </w:r>
          </w:p>
        </w:tc>
        <w:tc>
          <w:tcPr>
            <w:tcW w:w="993" w:type="dxa"/>
            <w:tcBorders>
              <w:top w:val="single" w:sz="8" w:space="0" w:color="auto"/>
              <w:left w:val="nil"/>
              <w:bottom w:val="single" w:sz="4" w:space="0" w:color="auto"/>
              <w:right w:val="single" w:sz="4" w:space="0" w:color="auto"/>
            </w:tcBorders>
            <w:shd w:val="clear" w:color="000000" w:fill="8DB4E2"/>
            <w:noWrap/>
            <w:hideMark/>
          </w:tcPr>
          <w:p w:rsidR="00625719" w:rsidRPr="002B1D6C" w:rsidRDefault="00625719" w:rsidP="00F161D7">
            <w:pPr>
              <w:jc w:val="center"/>
              <w:rPr>
                <w:b/>
                <w:bCs/>
                <w:color w:val="000000"/>
                <w:sz w:val="12"/>
                <w:szCs w:val="20"/>
                <w:lang w:val="es-GT" w:eastAsia="es-GT"/>
              </w:rPr>
            </w:pPr>
            <w:r w:rsidRPr="002B1D6C">
              <w:rPr>
                <w:b/>
                <w:bCs/>
                <w:color w:val="000000"/>
                <w:sz w:val="12"/>
                <w:szCs w:val="20"/>
                <w:lang w:val="es-GT" w:eastAsia="es-GT"/>
              </w:rPr>
              <w:t>EJECUCIÓN</w:t>
            </w:r>
          </w:p>
        </w:tc>
        <w:tc>
          <w:tcPr>
            <w:tcW w:w="850" w:type="dxa"/>
            <w:tcBorders>
              <w:top w:val="single" w:sz="8" w:space="0" w:color="auto"/>
              <w:left w:val="nil"/>
              <w:bottom w:val="single" w:sz="4" w:space="0" w:color="auto"/>
              <w:right w:val="single" w:sz="4" w:space="0" w:color="auto"/>
            </w:tcBorders>
            <w:shd w:val="clear" w:color="000000" w:fill="8DB4E2"/>
            <w:noWrap/>
            <w:hideMark/>
          </w:tcPr>
          <w:p w:rsidR="00625719" w:rsidRPr="002B1D6C" w:rsidRDefault="00625719" w:rsidP="00F161D7">
            <w:pPr>
              <w:jc w:val="center"/>
              <w:rPr>
                <w:b/>
                <w:bCs/>
                <w:color w:val="000000"/>
                <w:sz w:val="12"/>
                <w:szCs w:val="20"/>
                <w:lang w:val="es-GT" w:eastAsia="es-GT"/>
              </w:rPr>
            </w:pPr>
            <w:r w:rsidRPr="002B1D6C">
              <w:rPr>
                <w:b/>
                <w:bCs/>
                <w:color w:val="000000"/>
                <w:sz w:val="12"/>
                <w:szCs w:val="20"/>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hideMark/>
          </w:tcPr>
          <w:p w:rsidR="00625719" w:rsidRPr="002B1D6C" w:rsidRDefault="00625719" w:rsidP="00F161D7">
            <w:pPr>
              <w:jc w:val="center"/>
              <w:rPr>
                <w:b/>
                <w:bCs/>
                <w:color w:val="000000"/>
                <w:sz w:val="12"/>
                <w:szCs w:val="20"/>
                <w:lang w:val="es-GT" w:eastAsia="es-GT"/>
              </w:rPr>
            </w:pPr>
            <w:r w:rsidRPr="002B1D6C">
              <w:rPr>
                <w:b/>
                <w:bCs/>
                <w:color w:val="000000"/>
                <w:sz w:val="12"/>
                <w:szCs w:val="20"/>
                <w:lang w:val="es-GT" w:eastAsia="es-GT"/>
              </w:rPr>
              <w:t>% Ejec</w:t>
            </w:r>
          </w:p>
        </w:tc>
      </w:tr>
      <w:tr w:rsidR="00625719" w:rsidRPr="002B1D6C" w:rsidTr="00E436B5">
        <w:trPr>
          <w:trHeight w:val="284"/>
        </w:trPr>
        <w:tc>
          <w:tcPr>
            <w:tcW w:w="5790" w:type="dxa"/>
            <w:tcBorders>
              <w:top w:val="nil"/>
              <w:left w:val="single" w:sz="8" w:space="0" w:color="auto"/>
              <w:bottom w:val="nil"/>
              <w:right w:val="single" w:sz="4" w:space="0" w:color="auto"/>
            </w:tcBorders>
            <w:shd w:val="clear" w:color="FFFFFF" w:fill="FFFFFF"/>
            <w:noWrap/>
            <w:vAlign w:val="bottom"/>
            <w:hideMark/>
          </w:tcPr>
          <w:p w:rsidR="00625719" w:rsidRPr="002B1D6C" w:rsidRDefault="00625719" w:rsidP="00F161D7">
            <w:pPr>
              <w:rPr>
                <w:b/>
                <w:bCs/>
                <w:color w:val="333333"/>
                <w:sz w:val="12"/>
                <w:szCs w:val="20"/>
                <w:lang w:val="es-GT" w:eastAsia="es-GT"/>
              </w:rPr>
            </w:pPr>
            <w:r w:rsidRPr="002B1D6C">
              <w:rPr>
                <w:b/>
                <w:bCs/>
                <w:color w:val="333333"/>
                <w:sz w:val="12"/>
                <w:szCs w:val="20"/>
                <w:lang w:val="es-GT" w:eastAsia="es-GT"/>
              </w:rPr>
              <w:t>MINISTERIO DE AGRICULTURA, GANADERÍA Y ALIMENTACIÓN</w:t>
            </w:r>
          </w:p>
        </w:tc>
        <w:tc>
          <w:tcPr>
            <w:tcW w:w="1014"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b/>
                <w:bCs/>
                <w:color w:val="333333"/>
                <w:sz w:val="12"/>
                <w:szCs w:val="20"/>
                <w:lang w:val="es-GT" w:eastAsia="es-GT"/>
              </w:rPr>
            </w:pPr>
            <w:r w:rsidRPr="002B1D6C">
              <w:rPr>
                <w:b/>
                <w:bCs/>
                <w:color w:val="333333"/>
                <w:sz w:val="12"/>
                <w:szCs w:val="20"/>
                <w:lang w:val="es-GT" w:eastAsia="es-GT"/>
              </w:rPr>
              <w:t>1,365.4</w:t>
            </w:r>
          </w:p>
        </w:tc>
        <w:tc>
          <w:tcPr>
            <w:tcW w:w="993"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b/>
                <w:bCs/>
                <w:color w:val="333333"/>
                <w:sz w:val="12"/>
                <w:szCs w:val="20"/>
                <w:lang w:val="es-GT" w:eastAsia="es-GT"/>
              </w:rPr>
            </w:pPr>
            <w:r w:rsidRPr="002B1D6C">
              <w:rPr>
                <w:b/>
                <w:bCs/>
                <w:color w:val="333333"/>
                <w:sz w:val="12"/>
                <w:szCs w:val="20"/>
                <w:lang w:val="es-GT" w:eastAsia="es-GT"/>
              </w:rPr>
              <w:t>1,308.3</w:t>
            </w:r>
          </w:p>
        </w:tc>
        <w:tc>
          <w:tcPr>
            <w:tcW w:w="850"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b/>
                <w:bCs/>
                <w:color w:val="333333"/>
                <w:sz w:val="12"/>
                <w:szCs w:val="20"/>
                <w:lang w:val="es-GT" w:eastAsia="es-GT"/>
              </w:rPr>
            </w:pPr>
            <w:r w:rsidRPr="002B1D6C">
              <w:rPr>
                <w:b/>
                <w:bCs/>
                <w:color w:val="333333"/>
                <w:sz w:val="12"/>
                <w:szCs w:val="20"/>
                <w:lang w:val="es-GT" w:eastAsia="es-GT"/>
              </w:rPr>
              <w:t>57.1</w:t>
            </w:r>
          </w:p>
        </w:tc>
        <w:tc>
          <w:tcPr>
            <w:tcW w:w="851" w:type="dxa"/>
            <w:tcBorders>
              <w:top w:val="nil"/>
              <w:left w:val="nil"/>
              <w:bottom w:val="nil"/>
              <w:right w:val="single" w:sz="8" w:space="0" w:color="auto"/>
            </w:tcBorders>
            <w:shd w:val="clear" w:color="FFFFFF" w:fill="FFFFFF"/>
            <w:noWrap/>
            <w:vAlign w:val="center"/>
            <w:hideMark/>
          </w:tcPr>
          <w:p w:rsidR="00625719" w:rsidRPr="002B1D6C" w:rsidRDefault="00625719" w:rsidP="00F161D7">
            <w:pPr>
              <w:jc w:val="right"/>
              <w:rPr>
                <w:b/>
                <w:bCs/>
                <w:color w:val="333333"/>
                <w:sz w:val="12"/>
                <w:szCs w:val="20"/>
                <w:lang w:val="es-GT" w:eastAsia="es-GT"/>
              </w:rPr>
            </w:pPr>
            <w:r w:rsidRPr="002B1D6C">
              <w:rPr>
                <w:b/>
                <w:bCs/>
                <w:color w:val="333333"/>
                <w:sz w:val="12"/>
                <w:szCs w:val="20"/>
                <w:lang w:val="es-GT" w:eastAsia="es-GT"/>
              </w:rPr>
              <w:t>95.8%</w:t>
            </w:r>
          </w:p>
        </w:tc>
      </w:tr>
      <w:tr w:rsidR="00625719" w:rsidRPr="002B1D6C" w:rsidTr="00E436B5">
        <w:trPr>
          <w:trHeight w:val="284"/>
        </w:trPr>
        <w:tc>
          <w:tcPr>
            <w:tcW w:w="5790" w:type="dxa"/>
            <w:tcBorders>
              <w:top w:val="nil"/>
              <w:left w:val="single" w:sz="8" w:space="0" w:color="auto"/>
              <w:bottom w:val="nil"/>
              <w:right w:val="single" w:sz="4" w:space="0" w:color="auto"/>
            </w:tcBorders>
            <w:shd w:val="clear" w:color="FFFFFF" w:fill="FFFFFF"/>
            <w:noWrap/>
            <w:vAlign w:val="bottom"/>
            <w:hideMark/>
          </w:tcPr>
          <w:p w:rsidR="00625719" w:rsidRPr="002B1D6C" w:rsidRDefault="00625719" w:rsidP="00F161D7">
            <w:pPr>
              <w:ind w:firstLineChars="200" w:firstLine="240"/>
              <w:rPr>
                <w:color w:val="333333"/>
                <w:sz w:val="12"/>
                <w:szCs w:val="20"/>
                <w:lang w:val="es-GT" w:eastAsia="es-GT"/>
              </w:rPr>
            </w:pPr>
            <w:r w:rsidRPr="002B1D6C">
              <w:rPr>
                <w:color w:val="333333"/>
                <w:sz w:val="12"/>
                <w:szCs w:val="20"/>
                <w:lang w:val="es-GT" w:eastAsia="es-GT"/>
              </w:rPr>
              <w:t>APOYO A LA AGRICULTURA FAMILIAR</w:t>
            </w:r>
          </w:p>
        </w:tc>
        <w:tc>
          <w:tcPr>
            <w:tcW w:w="1014"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601.7</w:t>
            </w:r>
          </w:p>
        </w:tc>
        <w:tc>
          <w:tcPr>
            <w:tcW w:w="993"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597.8</w:t>
            </w:r>
          </w:p>
        </w:tc>
        <w:tc>
          <w:tcPr>
            <w:tcW w:w="850"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4.0</w:t>
            </w:r>
          </w:p>
        </w:tc>
        <w:tc>
          <w:tcPr>
            <w:tcW w:w="851" w:type="dxa"/>
            <w:tcBorders>
              <w:top w:val="nil"/>
              <w:left w:val="nil"/>
              <w:bottom w:val="nil"/>
              <w:right w:val="single" w:sz="8"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99.3%</w:t>
            </w:r>
          </w:p>
        </w:tc>
      </w:tr>
      <w:tr w:rsidR="00625719" w:rsidRPr="002B1D6C" w:rsidTr="00E436B5">
        <w:trPr>
          <w:trHeight w:val="284"/>
        </w:trPr>
        <w:tc>
          <w:tcPr>
            <w:tcW w:w="5790" w:type="dxa"/>
            <w:tcBorders>
              <w:top w:val="nil"/>
              <w:left w:val="single" w:sz="8" w:space="0" w:color="auto"/>
              <w:bottom w:val="nil"/>
              <w:right w:val="single" w:sz="4" w:space="0" w:color="auto"/>
            </w:tcBorders>
            <w:shd w:val="clear" w:color="FFFFFF" w:fill="FFFFFF"/>
            <w:noWrap/>
            <w:vAlign w:val="bottom"/>
            <w:hideMark/>
          </w:tcPr>
          <w:p w:rsidR="00625719" w:rsidRPr="002B1D6C" w:rsidRDefault="00625719" w:rsidP="00F161D7">
            <w:pPr>
              <w:ind w:firstLineChars="200" w:firstLine="240"/>
              <w:rPr>
                <w:color w:val="333333"/>
                <w:sz w:val="12"/>
                <w:szCs w:val="20"/>
                <w:lang w:val="es-GT" w:eastAsia="es-GT"/>
              </w:rPr>
            </w:pPr>
            <w:r w:rsidRPr="002B1D6C">
              <w:rPr>
                <w:color w:val="333333"/>
                <w:sz w:val="12"/>
                <w:szCs w:val="20"/>
                <w:lang w:val="es-GT" w:eastAsia="es-GT"/>
              </w:rPr>
              <w:t>PARTIDAS NO ASIGNABLES A PROGRAMAS</w:t>
            </w:r>
          </w:p>
        </w:tc>
        <w:tc>
          <w:tcPr>
            <w:tcW w:w="1014"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244.1</w:t>
            </w:r>
          </w:p>
        </w:tc>
        <w:tc>
          <w:tcPr>
            <w:tcW w:w="993"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253.5</w:t>
            </w:r>
          </w:p>
        </w:tc>
        <w:tc>
          <w:tcPr>
            <w:tcW w:w="850"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-9.5</w:t>
            </w:r>
          </w:p>
        </w:tc>
        <w:tc>
          <w:tcPr>
            <w:tcW w:w="851" w:type="dxa"/>
            <w:tcBorders>
              <w:top w:val="nil"/>
              <w:left w:val="nil"/>
              <w:bottom w:val="nil"/>
              <w:right w:val="single" w:sz="8"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103.9%</w:t>
            </w:r>
          </w:p>
        </w:tc>
      </w:tr>
      <w:tr w:rsidR="00625719" w:rsidRPr="002B1D6C" w:rsidTr="00E436B5">
        <w:trPr>
          <w:trHeight w:val="284"/>
        </w:trPr>
        <w:tc>
          <w:tcPr>
            <w:tcW w:w="5790" w:type="dxa"/>
            <w:tcBorders>
              <w:top w:val="nil"/>
              <w:left w:val="single" w:sz="8" w:space="0" w:color="auto"/>
              <w:bottom w:val="nil"/>
              <w:right w:val="single" w:sz="4" w:space="0" w:color="auto"/>
            </w:tcBorders>
            <w:shd w:val="clear" w:color="FFFFFF" w:fill="FFFFFF"/>
            <w:vAlign w:val="bottom"/>
            <w:hideMark/>
          </w:tcPr>
          <w:p w:rsidR="00625719" w:rsidRPr="002B1D6C" w:rsidRDefault="00625719" w:rsidP="00F161D7">
            <w:pPr>
              <w:ind w:firstLineChars="200" w:firstLine="240"/>
              <w:rPr>
                <w:color w:val="333333"/>
                <w:sz w:val="12"/>
                <w:szCs w:val="20"/>
                <w:lang w:val="es-GT" w:eastAsia="es-GT"/>
              </w:rPr>
            </w:pPr>
            <w:r w:rsidRPr="002B1D6C">
              <w:rPr>
                <w:color w:val="333333"/>
                <w:sz w:val="12"/>
                <w:szCs w:val="20"/>
                <w:lang w:val="es-GT" w:eastAsia="es-GT"/>
              </w:rPr>
              <w:t>APOYO A LA PRODUCTIVIDAD Y COMPETITIVIDAD AGROPECUARIA E HIDROBIOLÓGICA</w:t>
            </w:r>
          </w:p>
        </w:tc>
        <w:tc>
          <w:tcPr>
            <w:tcW w:w="1014"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323.1</w:t>
            </w:r>
          </w:p>
        </w:tc>
        <w:tc>
          <w:tcPr>
            <w:tcW w:w="993"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241.3</w:t>
            </w:r>
          </w:p>
        </w:tc>
        <w:tc>
          <w:tcPr>
            <w:tcW w:w="850"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81.8</w:t>
            </w:r>
          </w:p>
        </w:tc>
        <w:tc>
          <w:tcPr>
            <w:tcW w:w="851" w:type="dxa"/>
            <w:tcBorders>
              <w:top w:val="nil"/>
              <w:left w:val="nil"/>
              <w:bottom w:val="nil"/>
              <w:right w:val="single" w:sz="8"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74.7%</w:t>
            </w:r>
          </w:p>
        </w:tc>
      </w:tr>
      <w:tr w:rsidR="00625719" w:rsidRPr="002B1D6C" w:rsidTr="00E436B5">
        <w:trPr>
          <w:trHeight w:val="284"/>
        </w:trPr>
        <w:tc>
          <w:tcPr>
            <w:tcW w:w="5790" w:type="dxa"/>
            <w:tcBorders>
              <w:top w:val="nil"/>
              <w:left w:val="single" w:sz="8" w:space="0" w:color="auto"/>
              <w:bottom w:val="nil"/>
              <w:right w:val="single" w:sz="4" w:space="0" w:color="auto"/>
            </w:tcBorders>
            <w:shd w:val="clear" w:color="FFFFFF" w:fill="FFFFFF"/>
            <w:noWrap/>
            <w:vAlign w:val="bottom"/>
            <w:hideMark/>
          </w:tcPr>
          <w:p w:rsidR="00625719" w:rsidRPr="002B1D6C" w:rsidRDefault="00625719" w:rsidP="00F161D7">
            <w:pPr>
              <w:ind w:firstLineChars="200" w:firstLine="240"/>
              <w:rPr>
                <w:color w:val="333333"/>
                <w:sz w:val="12"/>
                <w:szCs w:val="20"/>
                <w:lang w:val="es-GT" w:eastAsia="es-GT"/>
              </w:rPr>
            </w:pPr>
            <w:r w:rsidRPr="002B1D6C">
              <w:rPr>
                <w:color w:val="333333"/>
                <w:sz w:val="12"/>
                <w:szCs w:val="20"/>
                <w:lang w:val="es-GT" w:eastAsia="es-GT"/>
              </w:rPr>
              <w:t>ACTIVIDADES CENTRALES</w:t>
            </w:r>
          </w:p>
        </w:tc>
        <w:tc>
          <w:tcPr>
            <w:tcW w:w="1014"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141.1</w:t>
            </w:r>
          </w:p>
        </w:tc>
        <w:tc>
          <w:tcPr>
            <w:tcW w:w="993"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134.4</w:t>
            </w:r>
          </w:p>
        </w:tc>
        <w:tc>
          <w:tcPr>
            <w:tcW w:w="850"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6.8</w:t>
            </w:r>
          </w:p>
        </w:tc>
        <w:tc>
          <w:tcPr>
            <w:tcW w:w="851" w:type="dxa"/>
            <w:tcBorders>
              <w:top w:val="nil"/>
              <w:left w:val="nil"/>
              <w:bottom w:val="nil"/>
              <w:right w:val="single" w:sz="8"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95.2%</w:t>
            </w:r>
          </w:p>
        </w:tc>
      </w:tr>
      <w:tr w:rsidR="00625719" w:rsidRPr="002B1D6C" w:rsidTr="00E436B5">
        <w:trPr>
          <w:trHeight w:val="284"/>
        </w:trPr>
        <w:tc>
          <w:tcPr>
            <w:tcW w:w="5790" w:type="dxa"/>
            <w:tcBorders>
              <w:top w:val="nil"/>
              <w:left w:val="single" w:sz="8" w:space="0" w:color="auto"/>
              <w:bottom w:val="nil"/>
              <w:right w:val="single" w:sz="4" w:space="0" w:color="auto"/>
            </w:tcBorders>
            <w:shd w:val="clear" w:color="FFFFFF" w:fill="FFFFFF"/>
            <w:noWrap/>
            <w:vAlign w:val="bottom"/>
            <w:hideMark/>
          </w:tcPr>
          <w:p w:rsidR="00625719" w:rsidRPr="002B1D6C" w:rsidRDefault="00625719" w:rsidP="00F161D7">
            <w:pPr>
              <w:ind w:firstLineChars="200" w:firstLine="240"/>
              <w:rPr>
                <w:color w:val="333333"/>
                <w:sz w:val="12"/>
                <w:szCs w:val="20"/>
                <w:lang w:val="es-GT" w:eastAsia="es-GT"/>
              </w:rPr>
            </w:pPr>
            <w:r w:rsidRPr="002B1D6C">
              <w:rPr>
                <w:color w:val="333333"/>
                <w:sz w:val="12"/>
                <w:szCs w:val="20"/>
                <w:lang w:val="es-GT" w:eastAsia="es-GT"/>
              </w:rPr>
              <w:t>DESARROLLO SOSTENIBLE DE LOS RECURSOS NATURALES</w:t>
            </w:r>
          </w:p>
        </w:tc>
        <w:tc>
          <w:tcPr>
            <w:tcW w:w="1014"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52.5</w:t>
            </w:r>
          </w:p>
        </w:tc>
        <w:tc>
          <w:tcPr>
            <w:tcW w:w="993"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80.9</w:t>
            </w:r>
          </w:p>
        </w:tc>
        <w:tc>
          <w:tcPr>
            <w:tcW w:w="850" w:type="dxa"/>
            <w:tcBorders>
              <w:top w:val="nil"/>
              <w:left w:val="nil"/>
              <w:bottom w:val="nil"/>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-28.4</w:t>
            </w:r>
          </w:p>
        </w:tc>
        <w:tc>
          <w:tcPr>
            <w:tcW w:w="851" w:type="dxa"/>
            <w:tcBorders>
              <w:top w:val="nil"/>
              <w:left w:val="nil"/>
              <w:bottom w:val="nil"/>
              <w:right w:val="single" w:sz="8"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154.1%</w:t>
            </w:r>
          </w:p>
        </w:tc>
      </w:tr>
      <w:tr w:rsidR="00625719" w:rsidRPr="002B1D6C" w:rsidTr="00E436B5">
        <w:trPr>
          <w:trHeight w:val="284"/>
        </w:trPr>
        <w:tc>
          <w:tcPr>
            <w:tcW w:w="5790" w:type="dxa"/>
            <w:tcBorders>
              <w:top w:val="nil"/>
              <w:left w:val="single" w:sz="8" w:space="0" w:color="auto"/>
              <w:bottom w:val="single" w:sz="8" w:space="0" w:color="auto"/>
              <w:right w:val="single" w:sz="4" w:space="0" w:color="auto"/>
            </w:tcBorders>
            <w:shd w:val="clear" w:color="FFFFFF" w:fill="FFFFFF"/>
            <w:noWrap/>
            <w:vAlign w:val="bottom"/>
            <w:hideMark/>
          </w:tcPr>
          <w:p w:rsidR="00625719" w:rsidRPr="002B1D6C" w:rsidRDefault="00625719" w:rsidP="00F161D7">
            <w:pPr>
              <w:ind w:firstLineChars="200" w:firstLine="240"/>
              <w:rPr>
                <w:color w:val="333333"/>
                <w:sz w:val="12"/>
                <w:szCs w:val="20"/>
                <w:lang w:val="es-GT" w:eastAsia="es-GT"/>
              </w:rPr>
            </w:pPr>
            <w:r w:rsidRPr="002B1D6C">
              <w:rPr>
                <w:color w:val="333333"/>
                <w:sz w:val="12"/>
                <w:szCs w:val="20"/>
                <w:lang w:val="es-GT" w:eastAsia="es-GT"/>
              </w:rPr>
              <w:t>APOYO A LA PROTECCIÓN Y BIENESTAR ANIMAL</w:t>
            </w:r>
          </w:p>
        </w:tc>
        <w:tc>
          <w:tcPr>
            <w:tcW w:w="1014"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3.0</w:t>
            </w:r>
          </w:p>
        </w:tc>
        <w:tc>
          <w:tcPr>
            <w:tcW w:w="993" w:type="dxa"/>
            <w:tcBorders>
              <w:top w:val="nil"/>
              <w:left w:val="nil"/>
              <w:bottom w:val="single" w:sz="8" w:space="0" w:color="auto"/>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0.5</w:t>
            </w:r>
          </w:p>
        </w:tc>
        <w:tc>
          <w:tcPr>
            <w:tcW w:w="850"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2.5</w:t>
            </w:r>
          </w:p>
        </w:tc>
        <w:tc>
          <w:tcPr>
            <w:tcW w:w="851" w:type="dxa"/>
            <w:tcBorders>
              <w:top w:val="nil"/>
              <w:left w:val="single" w:sz="4" w:space="0" w:color="auto"/>
              <w:bottom w:val="single" w:sz="8" w:space="0" w:color="auto"/>
              <w:right w:val="single" w:sz="8" w:space="0" w:color="auto"/>
            </w:tcBorders>
            <w:shd w:val="clear" w:color="FFFFFF" w:fill="FFFFFF"/>
            <w:noWrap/>
            <w:vAlign w:val="center"/>
            <w:hideMark/>
          </w:tcPr>
          <w:p w:rsidR="00625719" w:rsidRPr="002B1D6C" w:rsidRDefault="00625719" w:rsidP="00F161D7">
            <w:pPr>
              <w:jc w:val="right"/>
              <w:rPr>
                <w:color w:val="333333"/>
                <w:sz w:val="12"/>
                <w:szCs w:val="20"/>
                <w:lang w:val="es-GT" w:eastAsia="es-GT"/>
              </w:rPr>
            </w:pPr>
            <w:r w:rsidRPr="002B1D6C">
              <w:rPr>
                <w:color w:val="333333"/>
                <w:sz w:val="12"/>
                <w:szCs w:val="20"/>
                <w:lang w:val="es-GT" w:eastAsia="es-GT"/>
              </w:rPr>
              <w:t>17.5%</w:t>
            </w: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Default="00625719" w:rsidP="00625719">
      <w:pPr>
        <w:jc w:val="both"/>
        <w:rPr>
          <w:b/>
        </w:rPr>
      </w:pPr>
      <w:r w:rsidRPr="00D108FD">
        <w:rPr>
          <w:b/>
        </w:rPr>
        <w:lastRenderedPageBreak/>
        <w:t>Ministerio de Comunicaciones, Infraestructura y Vivienda</w:t>
      </w:r>
      <w:r>
        <w:rPr>
          <w:b/>
        </w:rPr>
        <w:t>:</w:t>
      </w:r>
    </w:p>
    <w:p w:rsidR="00625719" w:rsidRPr="00D108FD" w:rsidRDefault="00625719" w:rsidP="00625719">
      <w:pPr>
        <w:jc w:val="both"/>
        <w:rPr>
          <w:b/>
        </w:rPr>
      </w:pPr>
    </w:p>
    <w:p w:rsidR="00625719" w:rsidRDefault="00625719" w:rsidP="00625719">
      <w:pPr>
        <w:jc w:val="both"/>
      </w:pPr>
      <w:r w:rsidRPr="00D108FD">
        <w:t xml:space="preserve">El </w:t>
      </w:r>
      <w:r w:rsidRPr="00E868EE">
        <w:t>Ministerio de Comunicaciones, Infraestructura y Vivienda</w:t>
      </w:r>
      <w:r w:rsidRPr="00D108FD">
        <w:t>, tuvo un presupuesto</w:t>
      </w:r>
      <w:r>
        <w:t xml:space="preserve"> aprobado</w:t>
      </w:r>
      <w:r w:rsidRPr="00D108FD">
        <w:t xml:space="preserve"> de </w:t>
      </w:r>
      <w:r>
        <w:t>Q</w:t>
      </w:r>
      <w:r w:rsidR="00CE4A00">
        <w:t>.</w:t>
      </w:r>
      <w:r>
        <w:t>6</w:t>
      </w:r>
      <w:r w:rsidRPr="00D108FD">
        <w:t>,</w:t>
      </w:r>
      <w:r>
        <w:t>053.</w:t>
      </w:r>
      <w:r w:rsidRPr="00D108FD">
        <w:t xml:space="preserve">4 millones y una ejecución presupuestaria de </w:t>
      </w:r>
      <w:r>
        <w:t>Q</w:t>
      </w:r>
      <w:r w:rsidR="00CE4A00">
        <w:t>.</w:t>
      </w:r>
      <w:r>
        <w:t>5</w:t>
      </w:r>
      <w:r w:rsidRPr="00D108FD">
        <w:t>,</w:t>
      </w:r>
      <w:r>
        <w:t>858.</w:t>
      </w:r>
      <w:r w:rsidRPr="00D108FD">
        <w:t>7 millones equivalente al 96.</w:t>
      </w:r>
      <w:r>
        <w:t>8</w:t>
      </w:r>
      <w:r w:rsidRPr="00D108FD">
        <w:t>%</w:t>
      </w:r>
      <w:r>
        <w:t>.</w:t>
      </w:r>
    </w:p>
    <w:p w:rsidR="00625719" w:rsidRPr="00D108FD" w:rsidRDefault="00625719" w:rsidP="00625719">
      <w:pPr>
        <w:jc w:val="both"/>
      </w:pPr>
    </w:p>
    <w:p w:rsidR="00625719" w:rsidRDefault="00625719" w:rsidP="00625719">
      <w:pPr>
        <w:jc w:val="both"/>
      </w:pPr>
      <w:r w:rsidRPr="00D108FD">
        <w:t>El primero de los programas prioritarios es “Desarrollo de la Infraestructura Vial” con un presupuesto</w:t>
      </w:r>
      <w:r>
        <w:t xml:space="preserve"> aprobado</w:t>
      </w:r>
      <w:r w:rsidRPr="00D108FD">
        <w:t xml:space="preserve"> de </w:t>
      </w:r>
      <w:r>
        <w:t>Q</w:t>
      </w:r>
      <w:r w:rsidR="00CE4A00">
        <w:t>.</w:t>
      </w:r>
      <w:r w:rsidRPr="00D108FD">
        <w:t>4,</w:t>
      </w:r>
      <w:r>
        <w:t>402.6</w:t>
      </w:r>
      <w:r w:rsidRPr="00D108FD">
        <w:t xml:space="preserve"> millones y una ejecución presupuestaria de </w:t>
      </w:r>
      <w:r>
        <w:t>Q</w:t>
      </w:r>
      <w:r w:rsidR="00CE4A00">
        <w:t>.</w:t>
      </w:r>
      <w:r>
        <w:t>4</w:t>
      </w:r>
      <w:r w:rsidRPr="00D108FD">
        <w:t>,</w:t>
      </w:r>
      <w:r>
        <w:t>618.7</w:t>
      </w:r>
      <w:r w:rsidRPr="00D108FD">
        <w:t xml:space="preserve"> equivalente al </w:t>
      </w:r>
      <w:r>
        <w:t>104.9</w:t>
      </w:r>
      <w:r w:rsidRPr="00D108FD">
        <w:t>%.</w:t>
      </w:r>
    </w:p>
    <w:p w:rsidR="00625719" w:rsidRPr="00D108FD" w:rsidRDefault="00625719" w:rsidP="00625719">
      <w:pPr>
        <w:jc w:val="both"/>
      </w:pPr>
    </w:p>
    <w:p w:rsidR="00625719" w:rsidRDefault="00625719" w:rsidP="00625719">
      <w:pPr>
        <w:jc w:val="both"/>
      </w:pPr>
      <w:r w:rsidRPr="00D108FD">
        <w:t xml:space="preserve">Seguidamente aparece el programa “Atención por Desastres Naturales y Calamidades Públicas” con un presupuesto </w:t>
      </w:r>
      <w:r>
        <w:t xml:space="preserve">aprobado </w:t>
      </w:r>
      <w:r w:rsidRPr="00D108FD">
        <w:t xml:space="preserve">de </w:t>
      </w:r>
      <w:r>
        <w:t>Q</w:t>
      </w:r>
      <w:r w:rsidR="00CE4A00">
        <w:t>.</w:t>
      </w:r>
      <w:r w:rsidRPr="00D108FD">
        <w:t>2</w:t>
      </w:r>
      <w:r>
        <w:t>79.3</w:t>
      </w:r>
      <w:r w:rsidRPr="00D108FD">
        <w:t xml:space="preserve"> millones y una ejecución presupuestaria de </w:t>
      </w:r>
      <w:r>
        <w:t>Q</w:t>
      </w:r>
      <w:r w:rsidR="00CE4A00">
        <w:t>.</w:t>
      </w:r>
      <w:r>
        <w:t>429.9</w:t>
      </w:r>
      <w:r w:rsidRPr="00D108FD">
        <w:t xml:space="preserve"> millones equivalente al </w:t>
      </w:r>
      <w:r>
        <w:t>153.9</w:t>
      </w:r>
      <w:r w:rsidRPr="00D108FD">
        <w:t>%.</w:t>
      </w:r>
    </w:p>
    <w:p w:rsidR="00625719" w:rsidRPr="00D108FD" w:rsidRDefault="00625719" w:rsidP="00625719">
      <w:pPr>
        <w:jc w:val="both"/>
      </w:pPr>
    </w:p>
    <w:p w:rsidR="00625719" w:rsidRDefault="00625719" w:rsidP="00625719">
      <w:pPr>
        <w:jc w:val="both"/>
      </w:pPr>
      <w:r w:rsidRPr="00D108FD">
        <w:t xml:space="preserve">Le sigue el programa de “Servicios Aeronáuticos y Aeroportuarios”, el cual </w:t>
      </w:r>
      <w:r>
        <w:t xml:space="preserve">tuvo un presupuesto aprobado </w:t>
      </w:r>
      <w:r w:rsidRPr="00D108FD">
        <w:t xml:space="preserve">de </w:t>
      </w:r>
      <w:r>
        <w:t>Q</w:t>
      </w:r>
      <w:r w:rsidR="00CE4A00">
        <w:t>.</w:t>
      </w:r>
      <w:r>
        <w:t>269.3</w:t>
      </w:r>
      <w:r w:rsidRPr="00D108FD">
        <w:t xml:space="preserve"> millones y una ejecución presupuestaria de </w:t>
      </w:r>
      <w:r>
        <w:t>Q</w:t>
      </w:r>
      <w:r w:rsidR="00CE4A00">
        <w:t>.</w:t>
      </w:r>
      <w:r w:rsidRPr="00D108FD">
        <w:t>1</w:t>
      </w:r>
      <w:r>
        <w:t>83.8</w:t>
      </w:r>
      <w:r w:rsidRPr="00D108FD">
        <w:t xml:space="preserve"> millones equivalente al </w:t>
      </w:r>
      <w:r>
        <w:t>68.3</w:t>
      </w:r>
      <w:r w:rsidRPr="00D108FD">
        <w:t>%</w:t>
      </w:r>
      <w:r>
        <w:t>.</w:t>
      </w:r>
    </w:p>
    <w:p w:rsidR="00625719" w:rsidRPr="00D108FD" w:rsidRDefault="00625719" w:rsidP="00625719">
      <w:pPr>
        <w:jc w:val="both"/>
      </w:pPr>
    </w:p>
    <w:p w:rsidR="00625719" w:rsidRDefault="00625719" w:rsidP="00625719">
      <w:pPr>
        <w:jc w:val="both"/>
      </w:pPr>
      <w:r w:rsidRPr="00D108FD">
        <w:t xml:space="preserve">Se observa también el programa “Desarrollo de la Vivienda” con un presupuesto de </w:t>
      </w:r>
      <w:r>
        <w:t>Q</w:t>
      </w:r>
      <w:r w:rsidR="00CE4A00">
        <w:t>.</w:t>
      </w:r>
      <w:r>
        <w:t>584.6</w:t>
      </w:r>
      <w:r w:rsidRPr="00D108FD">
        <w:t xml:space="preserve"> y una ejecución presupuestaria de </w:t>
      </w:r>
      <w:r>
        <w:t>Q</w:t>
      </w:r>
      <w:r w:rsidR="00CE4A00">
        <w:t>.</w:t>
      </w:r>
      <w:r>
        <w:t>289.8</w:t>
      </w:r>
      <w:r w:rsidRPr="00D108FD">
        <w:t xml:space="preserve"> millones equivalente al </w:t>
      </w:r>
      <w:r>
        <w:t>49.6</w:t>
      </w:r>
      <w:r w:rsidRPr="00D108FD">
        <w:t>%</w:t>
      </w:r>
      <w:r>
        <w:t>.</w:t>
      </w:r>
    </w:p>
    <w:p w:rsidR="00625719" w:rsidRDefault="00625719" w:rsidP="00625719">
      <w:pPr>
        <w:jc w:val="both"/>
      </w:pPr>
    </w:p>
    <w:p w:rsidR="00625719" w:rsidRDefault="00625719" w:rsidP="00625719">
      <w:pPr>
        <w:jc w:val="both"/>
      </w:pPr>
      <w:r>
        <w:t>Se observa a continuación el programa de “Servicios de Protección y Seguridad V</w:t>
      </w:r>
      <w:r w:rsidR="00CE4A00">
        <w:t>i</w:t>
      </w:r>
      <w:r>
        <w:t>al” con presupuesto aprobado de Q</w:t>
      </w:r>
      <w:r w:rsidR="00CE4A00">
        <w:t>.</w:t>
      </w:r>
      <w:r>
        <w:t>92.6 millones y una ejecución presupuestaria de Q</w:t>
      </w:r>
      <w:r w:rsidR="00CE4A00">
        <w:t>.</w:t>
      </w:r>
      <w:r>
        <w:t>54.7 millones, equivalente al 59.1%.</w:t>
      </w:r>
    </w:p>
    <w:p w:rsidR="00625719" w:rsidRPr="00D108FD" w:rsidRDefault="00625719" w:rsidP="00625719">
      <w:pPr>
        <w:jc w:val="both"/>
      </w:pPr>
    </w:p>
    <w:p w:rsidR="00625719" w:rsidRDefault="00625719" w:rsidP="00625719">
      <w:pPr>
        <w:jc w:val="both"/>
      </w:pPr>
      <w:r w:rsidRPr="00D108FD">
        <w:t xml:space="preserve">Finalmente, dentro del grupo de programas con mayor presupuesto y ejecución, se ubica el de “Construcción de Obra Pública” con un presupuesto de </w:t>
      </w:r>
      <w:r>
        <w:t>Q</w:t>
      </w:r>
      <w:r w:rsidR="00CE4A00">
        <w:t>.</w:t>
      </w:r>
      <w:r>
        <w:t>82.9</w:t>
      </w:r>
      <w:r w:rsidRPr="00D108FD">
        <w:t xml:space="preserve"> millones y una ejecución presupuestaria de </w:t>
      </w:r>
      <w:r>
        <w:t>Q</w:t>
      </w:r>
      <w:r w:rsidR="00CE4A00">
        <w:t>.</w:t>
      </w:r>
      <w:r>
        <w:t>52.0</w:t>
      </w:r>
      <w:r w:rsidRPr="00D108FD">
        <w:t xml:space="preserve"> millones equivalente al </w:t>
      </w:r>
      <w:r>
        <w:t>62.7%.</w:t>
      </w:r>
    </w:p>
    <w:p w:rsidR="00625719" w:rsidRPr="00D108FD" w:rsidRDefault="00625719" w:rsidP="00625719">
      <w:pPr>
        <w:jc w:val="both"/>
      </w:pPr>
    </w:p>
    <w:p w:rsidR="00625719" w:rsidRDefault="00625719" w:rsidP="00625719">
      <w:pPr>
        <w:jc w:val="both"/>
      </w:pPr>
      <w:r w:rsidRPr="00D108FD">
        <w:t>Seguidamente se observan 1</w:t>
      </w:r>
      <w:r>
        <w:t>1</w:t>
      </w:r>
      <w:r w:rsidRPr="00D108FD">
        <w:t xml:space="preserve"> programas más, los cuales tuvieron una ejecución presupuestaria por debajo de los </w:t>
      </w:r>
      <w:r>
        <w:t>Q</w:t>
      </w:r>
      <w:r w:rsidR="00CE4A00">
        <w:t>.</w:t>
      </w:r>
      <w:r>
        <w:t>5</w:t>
      </w:r>
      <w:r w:rsidRPr="00D108FD">
        <w:t>0.0 millones, tal como se observa en el cuadro que se presenta a continuación</w:t>
      </w:r>
      <w:r>
        <w:t>:</w:t>
      </w:r>
    </w:p>
    <w:p w:rsidR="00625719" w:rsidRDefault="00625719" w:rsidP="00625719">
      <w:pPr>
        <w:jc w:val="both"/>
      </w:pP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Programa!F113C2:F131C6" \a \f 4 \h  \* MERGEFORMAT </w:instrText>
      </w:r>
      <w:r>
        <w:rPr>
          <w:noProof/>
          <w:lang w:val="es-GT" w:eastAsia="es-GT"/>
        </w:rPr>
        <w:fldChar w:fldCharType="separate"/>
      </w:r>
    </w:p>
    <w:tbl>
      <w:tblPr>
        <w:tblW w:w="9498" w:type="dxa"/>
        <w:tblInd w:w="70" w:type="dxa"/>
        <w:tblCellMar>
          <w:left w:w="70" w:type="dxa"/>
          <w:right w:w="70" w:type="dxa"/>
        </w:tblCellMar>
        <w:tblLook w:val="04A0" w:firstRow="1" w:lastRow="0" w:firstColumn="1" w:lastColumn="0" w:noHBand="0" w:noVBand="1"/>
      </w:tblPr>
      <w:tblGrid>
        <w:gridCol w:w="5387"/>
        <w:gridCol w:w="1134"/>
        <w:gridCol w:w="1134"/>
        <w:gridCol w:w="992"/>
        <w:gridCol w:w="851"/>
      </w:tblGrid>
      <w:tr w:rsidR="00625719" w:rsidRPr="00451538" w:rsidTr="00341191">
        <w:trPr>
          <w:trHeight w:val="284"/>
          <w:tblHeader/>
        </w:trPr>
        <w:tc>
          <w:tcPr>
            <w:tcW w:w="5387"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451538" w:rsidRDefault="00625719" w:rsidP="00F161D7">
            <w:pPr>
              <w:jc w:val="center"/>
              <w:rPr>
                <w:b/>
                <w:bCs/>
                <w:color w:val="000000"/>
                <w:sz w:val="12"/>
                <w:szCs w:val="20"/>
                <w:lang w:val="es-GT" w:eastAsia="es-GT"/>
              </w:rPr>
            </w:pPr>
            <w:r w:rsidRPr="00451538">
              <w:rPr>
                <w:b/>
                <w:bCs/>
                <w:color w:val="000000"/>
                <w:sz w:val="12"/>
                <w:szCs w:val="20"/>
                <w:lang w:val="es-GT" w:eastAsia="es-GT"/>
              </w:rPr>
              <w:t>DESCRIPCION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451538" w:rsidRDefault="00625719" w:rsidP="00F161D7">
            <w:pPr>
              <w:jc w:val="center"/>
              <w:rPr>
                <w:b/>
                <w:bCs/>
                <w:color w:val="000000"/>
                <w:sz w:val="12"/>
                <w:szCs w:val="20"/>
                <w:lang w:val="es-GT" w:eastAsia="es-GT"/>
              </w:rPr>
            </w:pPr>
            <w:r w:rsidRPr="00451538">
              <w:rPr>
                <w:b/>
                <w:bCs/>
                <w:color w:val="000000"/>
                <w:sz w:val="12"/>
                <w:szCs w:val="20"/>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451538" w:rsidRDefault="00625719" w:rsidP="00F161D7">
            <w:pPr>
              <w:jc w:val="center"/>
              <w:rPr>
                <w:b/>
                <w:bCs/>
                <w:color w:val="000000"/>
                <w:sz w:val="12"/>
                <w:szCs w:val="20"/>
                <w:lang w:val="es-GT" w:eastAsia="es-GT"/>
              </w:rPr>
            </w:pPr>
            <w:r w:rsidRPr="00451538">
              <w:rPr>
                <w:b/>
                <w:bCs/>
                <w:color w:val="000000"/>
                <w:sz w:val="12"/>
                <w:szCs w:val="20"/>
                <w:lang w:val="es-GT" w:eastAsia="es-GT"/>
              </w:rPr>
              <w:t>EJECUCIÓN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625719" w:rsidRPr="00451538" w:rsidRDefault="00625719" w:rsidP="00F161D7">
            <w:pPr>
              <w:jc w:val="center"/>
              <w:rPr>
                <w:b/>
                <w:bCs/>
                <w:color w:val="000000"/>
                <w:sz w:val="12"/>
                <w:szCs w:val="20"/>
                <w:lang w:val="es-GT" w:eastAsia="es-GT"/>
              </w:rPr>
            </w:pPr>
            <w:r w:rsidRPr="00451538">
              <w:rPr>
                <w:b/>
                <w:bCs/>
                <w:color w:val="000000"/>
                <w:sz w:val="12"/>
                <w:szCs w:val="20"/>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hideMark/>
          </w:tcPr>
          <w:p w:rsidR="00625719" w:rsidRPr="00451538" w:rsidRDefault="00625719" w:rsidP="00F161D7">
            <w:pPr>
              <w:jc w:val="center"/>
              <w:rPr>
                <w:b/>
                <w:bCs/>
                <w:color w:val="000000"/>
                <w:sz w:val="12"/>
                <w:szCs w:val="20"/>
                <w:lang w:val="es-GT" w:eastAsia="es-GT"/>
              </w:rPr>
            </w:pPr>
            <w:r w:rsidRPr="00451538">
              <w:rPr>
                <w:b/>
                <w:bCs/>
                <w:color w:val="000000"/>
                <w:sz w:val="12"/>
                <w:szCs w:val="20"/>
                <w:lang w:val="es-GT" w:eastAsia="es-GT"/>
              </w:rPr>
              <w:t>% Ejec</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noWrap/>
            <w:vAlign w:val="center"/>
            <w:hideMark/>
          </w:tcPr>
          <w:p w:rsidR="00625719" w:rsidRPr="00451538" w:rsidRDefault="00625719" w:rsidP="00F161D7">
            <w:pPr>
              <w:rPr>
                <w:b/>
                <w:bCs/>
                <w:color w:val="333333"/>
                <w:sz w:val="12"/>
                <w:szCs w:val="20"/>
                <w:lang w:val="es-GT" w:eastAsia="es-GT"/>
              </w:rPr>
            </w:pPr>
            <w:r w:rsidRPr="00451538">
              <w:rPr>
                <w:b/>
                <w:bCs/>
                <w:color w:val="333333"/>
                <w:sz w:val="12"/>
                <w:szCs w:val="20"/>
                <w:lang w:val="es-GT" w:eastAsia="es-GT"/>
              </w:rPr>
              <w:t>MINISTERIO DE COMUNICACIONES, INFRAESTRUCTURA Y VIVIENDA</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b/>
                <w:bCs/>
                <w:color w:val="333333"/>
                <w:sz w:val="12"/>
                <w:szCs w:val="20"/>
                <w:lang w:val="es-GT" w:eastAsia="es-GT"/>
              </w:rPr>
            </w:pPr>
            <w:r w:rsidRPr="00451538">
              <w:rPr>
                <w:b/>
                <w:bCs/>
                <w:color w:val="333333"/>
                <w:sz w:val="12"/>
                <w:szCs w:val="20"/>
                <w:lang w:val="es-GT" w:eastAsia="es-GT"/>
              </w:rPr>
              <w:t>6,053.4</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b/>
                <w:bCs/>
                <w:color w:val="333333"/>
                <w:sz w:val="12"/>
                <w:szCs w:val="20"/>
                <w:lang w:val="es-GT" w:eastAsia="es-GT"/>
              </w:rPr>
            </w:pPr>
            <w:r w:rsidRPr="00451538">
              <w:rPr>
                <w:b/>
                <w:bCs/>
                <w:color w:val="333333"/>
                <w:sz w:val="12"/>
                <w:szCs w:val="20"/>
                <w:lang w:val="es-GT" w:eastAsia="es-GT"/>
              </w:rPr>
              <w:t>5,858.7</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b/>
                <w:bCs/>
                <w:color w:val="333333"/>
                <w:sz w:val="12"/>
                <w:szCs w:val="20"/>
                <w:lang w:val="es-GT" w:eastAsia="es-GT"/>
              </w:rPr>
            </w:pPr>
            <w:r w:rsidRPr="00451538">
              <w:rPr>
                <w:b/>
                <w:bCs/>
                <w:color w:val="333333"/>
                <w:sz w:val="12"/>
                <w:szCs w:val="20"/>
                <w:lang w:val="es-GT" w:eastAsia="es-GT"/>
              </w:rPr>
              <w:t>194.6</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b/>
                <w:bCs/>
                <w:color w:val="333333"/>
                <w:sz w:val="12"/>
                <w:szCs w:val="20"/>
                <w:lang w:val="es-GT" w:eastAsia="es-GT"/>
              </w:rPr>
            </w:pPr>
            <w:r w:rsidRPr="00451538">
              <w:rPr>
                <w:b/>
                <w:bCs/>
                <w:color w:val="333333"/>
                <w:sz w:val="12"/>
                <w:szCs w:val="20"/>
                <w:lang w:val="es-GT" w:eastAsia="es-GT"/>
              </w:rPr>
              <w:t>96.8%</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DESARROLLO DE LA INFRAESTRUCTURA VIAL</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4,402.6</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4,618.7</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-216.1</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104.9%</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ATENCION POR DESASTRES NATURALES Y CALAMIDADES PUBLICAS</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279.3</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429.9</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-150.6</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153.9%</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DESARROLLO DE LA VIVIENDA</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584.6</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289.8</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294.9</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49.6%</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SERVICIOS AERONAUTICOS Y AEROPORTUARIOS</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269.3</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183.8</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85.5</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68.3%</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SERVICIOS DE PROTECCION Y SEGURIDAD VIAL</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92.6</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54.7</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37.9</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59.1%</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CONSTRUCCION DE OBRA PUBLICA</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82.9</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52.0</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30.9</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62.7%</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SERVICIOS DE URBANIZACION, LEGALIZACION, CONSTRUCCION Y MEJORAMIENTO DE BIENES INMUEBLES</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102.4</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49.0</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53.4</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47.8%</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ACTIVIDADES CENTRALES</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53.8</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48.1</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5.7</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89.5%</w:t>
            </w:r>
          </w:p>
        </w:tc>
      </w:tr>
      <w:tr w:rsidR="00625719" w:rsidRPr="00451538" w:rsidTr="00D32693">
        <w:trPr>
          <w:trHeight w:val="284"/>
          <w:tblHeader/>
        </w:trPr>
        <w:tc>
          <w:tcPr>
            <w:tcW w:w="5387" w:type="dxa"/>
            <w:tcBorders>
              <w:top w:val="nil"/>
              <w:left w:val="single" w:sz="8" w:space="0" w:color="auto"/>
              <w:right w:val="single" w:sz="4" w:space="0" w:color="auto"/>
            </w:tcBorders>
            <w:shd w:val="clear" w:color="FFFFFF" w:fill="FFFFFF"/>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SERVICIOS DE INFORMACION SISMOLOGICA, CLIMATICA, METEOROLOGICA E HIDROLOGICA</w:t>
            </w:r>
          </w:p>
        </w:tc>
        <w:tc>
          <w:tcPr>
            <w:tcW w:w="1134" w:type="dxa"/>
            <w:tcBorders>
              <w:top w:val="nil"/>
              <w:left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66.1</w:t>
            </w:r>
          </w:p>
        </w:tc>
        <w:tc>
          <w:tcPr>
            <w:tcW w:w="1134" w:type="dxa"/>
            <w:tcBorders>
              <w:top w:val="nil"/>
              <w:left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32.0</w:t>
            </w:r>
          </w:p>
        </w:tc>
        <w:tc>
          <w:tcPr>
            <w:tcW w:w="992" w:type="dxa"/>
            <w:tcBorders>
              <w:top w:val="nil"/>
              <w:left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34.1</w:t>
            </w:r>
          </w:p>
        </w:tc>
        <w:tc>
          <w:tcPr>
            <w:tcW w:w="851" w:type="dxa"/>
            <w:tcBorders>
              <w:top w:val="nil"/>
              <w:left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48.4%</w:t>
            </w:r>
          </w:p>
        </w:tc>
      </w:tr>
      <w:tr w:rsidR="00625719" w:rsidRPr="00451538" w:rsidTr="00D32693">
        <w:trPr>
          <w:trHeight w:val="284"/>
          <w:tblHeader/>
        </w:trPr>
        <w:tc>
          <w:tcPr>
            <w:tcW w:w="5387" w:type="dxa"/>
            <w:tcBorders>
              <w:top w:val="nil"/>
              <w:left w:val="single" w:sz="8" w:space="0" w:color="auto"/>
              <w:bottom w:val="single" w:sz="4" w:space="0" w:color="auto"/>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PARTIDAS NO ASIGNABLES A PROGRAMAS</w:t>
            </w:r>
          </w:p>
        </w:tc>
        <w:tc>
          <w:tcPr>
            <w:tcW w:w="1134" w:type="dxa"/>
            <w:tcBorders>
              <w:top w:val="nil"/>
              <w:left w:val="nil"/>
              <w:bottom w:val="single" w:sz="4" w:space="0" w:color="auto"/>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11.7</w:t>
            </w:r>
          </w:p>
        </w:tc>
        <w:tc>
          <w:tcPr>
            <w:tcW w:w="1134" w:type="dxa"/>
            <w:tcBorders>
              <w:top w:val="nil"/>
              <w:left w:val="nil"/>
              <w:bottom w:val="single" w:sz="4" w:space="0" w:color="auto"/>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27.7</w:t>
            </w:r>
          </w:p>
        </w:tc>
        <w:tc>
          <w:tcPr>
            <w:tcW w:w="992" w:type="dxa"/>
            <w:tcBorders>
              <w:top w:val="nil"/>
              <w:left w:val="nil"/>
              <w:bottom w:val="single" w:sz="4" w:space="0" w:color="auto"/>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-16.0</w:t>
            </w:r>
          </w:p>
        </w:tc>
        <w:tc>
          <w:tcPr>
            <w:tcW w:w="851" w:type="dxa"/>
            <w:tcBorders>
              <w:top w:val="nil"/>
              <w:left w:val="nil"/>
              <w:bottom w:val="single" w:sz="4" w:space="0" w:color="auto"/>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236.6%</w:t>
            </w:r>
          </w:p>
        </w:tc>
      </w:tr>
      <w:tr w:rsidR="00D32693" w:rsidRPr="00451538" w:rsidTr="00205147">
        <w:trPr>
          <w:trHeight w:val="284"/>
          <w:tblHeader/>
        </w:trPr>
        <w:tc>
          <w:tcPr>
            <w:tcW w:w="5387" w:type="dxa"/>
            <w:tcBorders>
              <w:top w:val="single" w:sz="8" w:space="0" w:color="auto"/>
              <w:left w:val="single" w:sz="8" w:space="0" w:color="auto"/>
              <w:bottom w:val="single" w:sz="4" w:space="0" w:color="auto"/>
              <w:right w:val="single" w:sz="4" w:space="0" w:color="auto"/>
            </w:tcBorders>
            <w:shd w:val="clear" w:color="000000" w:fill="8DB4E2"/>
            <w:noWrap/>
            <w:hideMark/>
          </w:tcPr>
          <w:p w:rsidR="00D32693" w:rsidRPr="00451538" w:rsidRDefault="00D32693" w:rsidP="00205147">
            <w:pPr>
              <w:jc w:val="center"/>
              <w:rPr>
                <w:b/>
                <w:bCs/>
                <w:color w:val="000000"/>
                <w:sz w:val="12"/>
                <w:szCs w:val="20"/>
                <w:lang w:val="es-GT" w:eastAsia="es-GT"/>
              </w:rPr>
            </w:pPr>
            <w:r w:rsidRPr="00451538">
              <w:rPr>
                <w:b/>
                <w:bCs/>
                <w:color w:val="000000"/>
                <w:sz w:val="12"/>
                <w:szCs w:val="20"/>
                <w:lang w:val="es-GT" w:eastAsia="es-GT"/>
              </w:rPr>
              <w:lastRenderedPageBreak/>
              <w:t>DESCRIPCION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D32693" w:rsidRPr="00451538" w:rsidRDefault="00D32693" w:rsidP="00205147">
            <w:pPr>
              <w:jc w:val="center"/>
              <w:rPr>
                <w:b/>
                <w:bCs/>
                <w:color w:val="000000"/>
                <w:sz w:val="12"/>
                <w:szCs w:val="20"/>
                <w:lang w:val="es-GT" w:eastAsia="es-GT"/>
              </w:rPr>
            </w:pPr>
            <w:r w:rsidRPr="00451538">
              <w:rPr>
                <w:b/>
                <w:bCs/>
                <w:color w:val="000000"/>
                <w:sz w:val="12"/>
                <w:szCs w:val="20"/>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D32693" w:rsidRPr="00451538" w:rsidRDefault="00D32693" w:rsidP="00205147">
            <w:pPr>
              <w:jc w:val="center"/>
              <w:rPr>
                <w:b/>
                <w:bCs/>
                <w:color w:val="000000"/>
                <w:sz w:val="12"/>
                <w:szCs w:val="20"/>
                <w:lang w:val="es-GT" w:eastAsia="es-GT"/>
              </w:rPr>
            </w:pPr>
            <w:r w:rsidRPr="00451538">
              <w:rPr>
                <w:b/>
                <w:bCs/>
                <w:color w:val="000000"/>
                <w:sz w:val="12"/>
                <w:szCs w:val="20"/>
                <w:lang w:val="es-GT" w:eastAsia="es-GT"/>
              </w:rPr>
              <w:t>EJECUCIÓN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D32693" w:rsidRPr="00451538" w:rsidRDefault="00D32693" w:rsidP="00205147">
            <w:pPr>
              <w:jc w:val="center"/>
              <w:rPr>
                <w:b/>
                <w:bCs/>
                <w:color w:val="000000"/>
                <w:sz w:val="12"/>
                <w:szCs w:val="20"/>
                <w:lang w:val="es-GT" w:eastAsia="es-GT"/>
              </w:rPr>
            </w:pPr>
            <w:r w:rsidRPr="00451538">
              <w:rPr>
                <w:b/>
                <w:bCs/>
                <w:color w:val="000000"/>
                <w:sz w:val="12"/>
                <w:szCs w:val="20"/>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hideMark/>
          </w:tcPr>
          <w:p w:rsidR="00D32693" w:rsidRPr="00451538" w:rsidRDefault="00D32693" w:rsidP="00205147">
            <w:pPr>
              <w:jc w:val="center"/>
              <w:rPr>
                <w:b/>
                <w:bCs/>
                <w:color w:val="000000"/>
                <w:sz w:val="12"/>
                <w:szCs w:val="20"/>
                <w:lang w:val="es-GT" w:eastAsia="es-GT"/>
              </w:rPr>
            </w:pPr>
            <w:r w:rsidRPr="00451538">
              <w:rPr>
                <w:b/>
                <w:bCs/>
                <w:color w:val="000000"/>
                <w:sz w:val="12"/>
                <w:szCs w:val="20"/>
                <w:lang w:val="es-GT" w:eastAsia="es-GT"/>
              </w:rPr>
              <w:t>% Ejec</w:t>
            </w:r>
          </w:p>
        </w:tc>
      </w:tr>
      <w:tr w:rsidR="00625719" w:rsidRPr="00451538" w:rsidTr="00D32693">
        <w:trPr>
          <w:trHeight w:val="284"/>
          <w:tblHeader/>
        </w:trPr>
        <w:tc>
          <w:tcPr>
            <w:tcW w:w="5387" w:type="dxa"/>
            <w:tcBorders>
              <w:top w:val="single" w:sz="4" w:space="0" w:color="auto"/>
              <w:left w:val="single" w:sz="8" w:space="0" w:color="auto"/>
              <w:bottom w:val="nil"/>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SERVICIOS DE CORREOS Y TELEGRAFOS</w:t>
            </w:r>
          </w:p>
        </w:tc>
        <w:tc>
          <w:tcPr>
            <w:tcW w:w="1134" w:type="dxa"/>
            <w:tcBorders>
              <w:top w:val="single" w:sz="4" w:space="0" w:color="auto"/>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42.8</w:t>
            </w:r>
          </w:p>
        </w:tc>
        <w:tc>
          <w:tcPr>
            <w:tcW w:w="1134" w:type="dxa"/>
            <w:tcBorders>
              <w:top w:val="single" w:sz="4" w:space="0" w:color="auto"/>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17.9</w:t>
            </w:r>
          </w:p>
        </w:tc>
        <w:tc>
          <w:tcPr>
            <w:tcW w:w="992" w:type="dxa"/>
            <w:tcBorders>
              <w:top w:val="single" w:sz="4" w:space="0" w:color="auto"/>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24.9</w:t>
            </w:r>
          </w:p>
        </w:tc>
        <w:tc>
          <w:tcPr>
            <w:tcW w:w="851" w:type="dxa"/>
            <w:tcBorders>
              <w:top w:val="single" w:sz="4" w:space="0" w:color="auto"/>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41.9%</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REGULACION DE TRANSPORTE EXTRAURBANO POR CARRETERA</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18.2</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14.7</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3.4</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81.1%</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REGULACION DE TELECOMUNICACIONES</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20.0</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14.6</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5.3</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73.3%</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SERVICIOS DE RADIODIFUSION Y TELEVISION</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12.0</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11.0</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1.0</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91.7%</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SERVICIOS PARA EL DESARROLLO DE LA TELEFONIA</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8.0</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6.7</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1.3</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83.8%</w:t>
            </w:r>
          </w:p>
        </w:tc>
      </w:tr>
      <w:tr w:rsidR="00625719" w:rsidRPr="00451538" w:rsidTr="00341191">
        <w:trPr>
          <w:trHeight w:val="284"/>
          <w:tblHeader/>
        </w:trPr>
        <w:tc>
          <w:tcPr>
            <w:tcW w:w="5387" w:type="dxa"/>
            <w:tcBorders>
              <w:top w:val="nil"/>
              <w:left w:val="single" w:sz="8" w:space="0" w:color="auto"/>
              <w:bottom w:val="nil"/>
              <w:right w:val="single" w:sz="4" w:space="0" w:color="auto"/>
            </w:tcBorders>
            <w:shd w:val="clear" w:color="FFFFFF" w:fill="FFFFFF"/>
            <w:noWrap/>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SERVICIOS DE CABLE POR TELEVISION</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7.2</w:t>
            </w:r>
          </w:p>
        </w:tc>
        <w:tc>
          <w:tcPr>
            <w:tcW w:w="1134"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5.6</w:t>
            </w:r>
          </w:p>
        </w:tc>
        <w:tc>
          <w:tcPr>
            <w:tcW w:w="992" w:type="dxa"/>
            <w:tcBorders>
              <w:top w:val="nil"/>
              <w:left w:val="nil"/>
              <w:bottom w:val="nil"/>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1.6</w:t>
            </w:r>
          </w:p>
        </w:tc>
        <w:tc>
          <w:tcPr>
            <w:tcW w:w="851" w:type="dxa"/>
            <w:tcBorders>
              <w:top w:val="nil"/>
              <w:left w:val="nil"/>
              <w:bottom w:val="nil"/>
              <w:right w:val="single" w:sz="8"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78.1%</w:t>
            </w:r>
          </w:p>
        </w:tc>
      </w:tr>
      <w:tr w:rsidR="00625719" w:rsidRPr="00451538" w:rsidTr="00341191">
        <w:trPr>
          <w:trHeight w:val="284"/>
          <w:tblHeader/>
        </w:trPr>
        <w:tc>
          <w:tcPr>
            <w:tcW w:w="5387" w:type="dxa"/>
            <w:tcBorders>
              <w:top w:val="nil"/>
              <w:left w:val="single" w:sz="8" w:space="0" w:color="auto"/>
              <w:bottom w:val="single" w:sz="8" w:space="0" w:color="auto"/>
              <w:right w:val="single" w:sz="4" w:space="0" w:color="auto"/>
            </w:tcBorders>
            <w:shd w:val="clear" w:color="FFFFFF" w:fill="FFFFFF"/>
            <w:vAlign w:val="center"/>
            <w:hideMark/>
          </w:tcPr>
          <w:p w:rsidR="00625719" w:rsidRPr="00451538" w:rsidRDefault="00625719" w:rsidP="00F161D7">
            <w:pPr>
              <w:ind w:firstLineChars="200" w:firstLine="240"/>
              <w:rPr>
                <w:color w:val="333333"/>
                <w:sz w:val="12"/>
                <w:szCs w:val="20"/>
                <w:lang w:val="es-GT" w:eastAsia="es-GT"/>
              </w:rPr>
            </w:pPr>
            <w:r w:rsidRPr="00451538">
              <w:rPr>
                <w:color w:val="333333"/>
                <w:sz w:val="12"/>
                <w:szCs w:val="20"/>
                <w:lang w:val="es-GT" w:eastAsia="es-GT"/>
              </w:rPr>
              <w:t>PROGRAMA DE RECONSTRUCCION ORIGINADO POR LA TORMENTA TROPICAL STAN</w:t>
            </w:r>
          </w:p>
        </w:tc>
        <w:tc>
          <w:tcPr>
            <w:tcW w:w="1134"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0.0</w:t>
            </w:r>
          </w:p>
        </w:tc>
        <w:tc>
          <w:tcPr>
            <w:tcW w:w="1134" w:type="dxa"/>
            <w:tcBorders>
              <w:top w:val="nil"/>
              <w:left w:val="nil"/>
              <w:bottom w:val="single" w:sz="8" w:space="0" w:color="auto"/>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2.5</w:t>
            </w:r>
          </w:p>
        </w:tc>
        <w:tc>
          <w:tcPr>
            <w:tcW w:w="992"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451538" w:rsidRDefault="00625719" w:rsidP="00F161D7">
            <w:pPr>
              <w:jc w:val="right"/>
              <w:rPr>
                <w:color w:val="333333"/>
                <w:sz w:val="12"/>
                <w:szCs w:val="20"/>
                <w:lang w:val="es-GT" w:eastAsia="es-GT"/>
              </w:rPr>
            </w:pPr>
            <w:r w:rsidRPr="00451538">
              <w:rPr>
                <w:color w:val="333333"/>
                <w:sz w:val="12"/>
                <w:szCs w:val="20"/>
                <w:lang w:val="es-GT" w:eastAsia="es-GT"/>
              </w:rPr>
              <w:t>-2.5</w:t>
            </w:r>
          </w:p>
        </w:tc>
        <w:tc>
          <w:tcPr>
            <w:tcW w:w="851" w:type="dxa"/>
            <w:tcBorders>
              <w:top w:val="nil"/>
              <w:left w:val="single" w:sz="4" w:space="0" w:color="auto"/>
              <w:bottom w:val="single" w:sz="8" w:space="0" w:color="auto"/>
              <w:right w:val="single" w:sz="8" w:space="0" w:color="auto"/>
            </w:tcBorders>
            <w:shd w:val="clear" w:color="FFFFFF" w:fill="FFFFFF"/>
            <w:noWrap/>
            <w:vAlign w:val="center"/>
            <w:hideMark/>
          </w:tcPr>
          <w:p w:rsidR="00625719" w:rsidRPr="00451538" w:rsidRDefault="00625719" w:rsidP="00F161D7">
            <w:pPr>
              <w:jc w:val="right"/>
              <w:rPr>
                <w:color w:val="FFFFFF"/>
                <w:sz w:val="12"/>
                <w:szCs w:val="20"/>
                <w:lang w:val="es-GT" w:eastAsia="es-GT"/>
              </w:rPr>
            </w:pPr>
            <w:r w:rsidRPr="00451538">
              <w:rPr>
                <w:color w:val="FFFFFF"/>
                <w:sz w:val="12"/>
                <w:szCs w:val="20"/>
                <w:lang w:val="es-GT" w:eastAsia="es-GT"/>
              </w:rPr>
              <w:t>######</w:t>
            </w: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Default="00625719" w:rsidP="00625719">
      <w:pPr>
        <w:jc w:val="both"/>
      </w:pPr>
    </w:p>
    <w:p w:rsidR="00CE4A00" w:rsidRPr="00D108FD" w:rsidRDefault="00CE4A00" w:rsidP="00625719">
      <w:pPr>
        <w:jc w:val="both"/>
      </w:pPr>
    </w:p>
    <w:p w:rsidR="00625719" w:rsidRDefault="00625719" w:rsidP="00625719">
      <w:pPr>
        <w:jc w:val="both"/>
        <w:rPr>
          <w:b/>
        </w:rPr>
      </w:pPr>
      <w:r>
        <w:rPr>
          <w:b/>
        </w:rPr>
        <w:t>M</w:t>
      </w:r>
      <w:r w:rsidRPr="00D108FD">
        <w:rPr>
          <w:b/>
        </w:rPr>
        <w:t>inisterio de Energía y Minas</w:t>
      </w:r>
      <w:r>
        <w:rPr>
          <w:b/>
        </w:rPr>
        <w:t>:</w:t>
      </w:r>
    </w:p>
    <w:p w:rsidR="00625719" w:rsidRPr="00D108FD" w:rsidRDefault="00625719" w:rsidP="00625719">
      <w:pPr>
        <w:jc w:val="both"/>
        <w:rPr>
          <w:b/>
        </w:rPr>
      </w:pPr>
    </w:p>
    <w:p w:rsidR="00625719" w:rsidRDefault="00625719" w:rsidP="00625719">
      <w:pPr>
        <w:jc w:val="both"/>
      </w:pPr>
      <w:r w:rsidRPr="00D108FD">
        <w:t xml:space="preserve">Este </w:t>
      </w:r>
      <w:r>
        <w:t>M</w:t>
      </w:r>
      <w:r w:rsidRPr="00D108FD">
        <w:t xml:space="preserve">inisterio inició </w:t>
      </w:r>
      <w:r>
        <w:t>conto con un</w:t>
      </w:r>
      <w:r w:rsidRPr="00D108FD">
        <w:t xml:space="preserve"> presupuesto</w:t>
      </w:r>
      <w:r>
        <w:t xml:space="preserve"> aprobado</w:t>
      </w:r>
      <w:r w:rsidRPr="00D108FD">
        <w:t xml:space="preserve"> de </w:t>
      </w:r>
      <w:r>
        <w:t>Q</w:t>
      </w:r>
      <w:r w:rsidR="005E400E">
        <w:t>.</w:t>
      </w:r>
      <w:r>
        <w:t>81.0</w:t>
      </w:r>
      <w:r w:rsidRPr="00D108FD">
        <w:t xml:space="preserve"> millones y una ejecución presupuestaria de </w:t>
      </w:r>
      <w:r>
        <w:t>Q</w:t>
      </w:r>
      <w:r w:rsidR="005E400E">
        <w:t>.7</w:t>
      </w:r>
      <w:r>
        <w:t>1.8</w:t>
      </w:r>
      <w:r w:rsidRPr="00D108FD">
        <w:t xml:space="preserve"> millones equivalente al </w:t>
      </w:r>
      <w:r>
        <w:t>88</w:t>
      </w:r>
      <w:r w:rsidRPr="00D108FD">
        <w:t>.6%</w:t>
      </w:r>
      <w:r>
        <w:t>.</w:t>
      </w:r>
    </w:p>
    <w:p w:rsidR="00625719" w:rsidRPr="00D108FD" w:rsidRDefault="00625719" w:rsidP="00625719">
      <w:pPr>
        <w:jc w:val="both"/>
      </w:pPr>
    </w:p>
    <w:p w:rsidR="00625719" w:rsidRDefault="00625719" w:rsidP="00625719">
      <w:pPr>
        <w:jc w:val="both"/>
      </w:pPr>
      <w:r w:rsidRPr="00D108FD">
        <w:t>Dos fueron los programas prioritarios de</w:t>
      </w:r>
      <w:r>
        <w:t xml:space="preserve"> este Ministerio</w:t>
      </w:r>
      <w:r w:rsidRPr="00D108FD">
        <w:t xml:space="preserve">, siendo el primero el de las Actividades Centrales que iniciaron con un presupuesto de </w:t>
      </w:r>
      <w:r>
        <w:t>Q</w:t>
      </w:r>
      <w:r w:rsidR="005E400E">
        <w:t>.</w:t>
      </w:r>
      <w:r>
        <w:t>25.8</w:t>
      </w:r>
      <w:r w:rsidRPr="00D108FD">
        <w:t xml:space="preserve"> millones y una ejecución presupuestaria de </w:t>
      </w:r>
      <w:r>
        <w:t>Q</w:t>
      </w:r>
      <w:r w:rsidR="005E400E">
        <w:t>.</w:t>
      </w:r>
      <w:r>
        <w:t>28.7</w:t>
      </w:r>
      <w:r w:rsidRPr="00D108FD">
        <w:t xml:space="preserve"> millones equivalente al </w:t>
      </w:r>
      <w:r>
        <w:t>111.2</w:t>
      </w:r>
      <w:r w:rsidRPr="00D108FD">
        <w:t>%.</w:t>
      </w:r>
    </w:p>
    <w:p w:rsidR="00625719" w:rsidRPr="00D108FD" w:rsidRDefault="00625719" w:rsidP="00625719">
      <w:pPr>
        <w:jc w:val="both"/>
      </w:pPr>
    </w:p>
    <w:p w:rsidR="00625719" w:rsidRDefault="00625719" w:rsidP="00625719">
      <w:pPr>
        <w:jc w:val="both"/>
      </w:pPr>
      <w:r w:rsidRPr="00D108FD">
        <w:t>El segundo programa más importante fue “Exploración, Explotación y Comercialización Petrolera” con un presupuesto</w:t>
      </w:r>
      <w:r>
        <w:t xml:space="preserve"> aprobado</w:t>
      </w:r>
      <w:r w:rsidRPr="00D108FD">
        <w:t xml:space="preserve"> de </w:t>
      </w:r>
      <w:r>
        <w:t>Q</w:t>
      </w:r>
      <w:r w:rsidR="005E400E">
        <w:t>.</w:t>
      </w:r>
      <w:r w:rsidRPr="00D108FD">
        <w:t>1</w:t>
      </w:r>
      <w:r>
        <w:t>7.4</w:t>
      </w:r>
      <w:r w:rsidRPr="00D108FD">
        <w:t xml:space="preserve"> millones y una ejecución presupuestaria de </w:t>
      </w:r>
      <w:r>
        <w:t>Q</w:t>
      </w:r>
      <w:r w:rsidR="005E400E">
        <w:t>.</w:t>
      </w:r>
      <w:r w:rsidRPr="00D108FD">
        <w:t>1</w:t>
      </w:r>
      <w:r>
        <w:t>4.2</w:t>
      </w:r>
      <w:r w:rsidRPr="00D108FD">
        <w:t xml:space="preserve"> millones equivalente al 8</w:t>
      </w:r>
      <w:r>
        <w:t>1.4</w:t>
      </w:r>
      <w:r w:rsidRPr="00D108FD">
        <w:t>%</w:t>
      </w:r>
      <w:r>
        <w:t>.</w:t>
      </w:r>
    </w:p>
    <w:p w:rsidR="00625719" w:rsidRPr="00D108FD" w:rsidRDefault="00625719" w:rsidP="00625719">
      <w:pPr>
        <w:jc w:val="both"/>
      </w:pPr>
    </w:p>
    <w:p w:rsidR="00625719" w:rsidRDefault="00625719" w:rsidP="00625719">
      <w:pPr>
        <w:jc w:val="both"/>
      </w:pPr>
      <w:r w:rsidRPr="00D108FD">
        <w:t>Seguidamente el S</w:t>
      </w:r>
      <w:r w:rsidR="005E400E">
        <w:t>ICOIN</w:t>
      </w:r>
      <w:r w:rsidRPr="00D108FD">
        <w:t xml:space="preserve"> reporta </w:t>
      </w:r>
      <w:r>
        <w:t>6</w:t>
      </w:r>
      <w:r w:rsidRPr="00D108FD">
        <w:t xml:space="preserve"> programas más con una ejecución por debajo de los </w:t>
      </w:r>
      <w:r>
        <w:t>Q</w:t>
      </w:r>
      <w:r w:rsidR="005E400E">
        <w:t>.</w:t>
      </w:r>
      <w:r w:rsidRPr="00D108FD">
        <w:t>1</w:t>
      </w:r>
      <w:r>
        <w:t>1</w:t>
      </w:r>
      <w:r w:rsidRPr="00D108FD">
        <w:t>.0 millones, tal como se puede observar en el cuadro a continuación.</w:t>
      </w: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Programa!F133C2:F142C6" \a \f 4 \h  \* MERGEFORMAT </w:instrText>
      </w:r>
      <w:r>
        <w:rPr>
          <w:noProof/>
          <w:lang w:val="es-GT" w:eastAsia="es-GT"/>
        </w:rPr>
        <w:fldChar w:fldCharType="separate"/>
      </w:r>
    </w:p>
    <w:tbl>
      <w:tblPr>
        <w:tblW w:w="9498" w:type="dxa"/>
        <w:tblInd w:w="70" w:type="dxa"/>
        <w:tblCellMar>
          <w:left w:w="70" w:type="dxa"/>
          <w:right w:w="70" w:type="dxa"/>
        </w:tblCellMar>
        <w:tblLook w:val="04A0" w:firstRow="1" w:lastRow="0" w:firstColumn="1" w:lastColumn="0" w:noHBand="0" w:noVBand="1"/>
      </w:tblPr>
      <w:tblGrid>
        <w:gridCol w:w="5529"/>
        <w:gridCol w:w="992"/>
        <w:gridCol w:w="1134"/>
        <w:gridCol w:w="992"/>
        <w:gridCol w:w="851"/>
      </w:tblGrid>
      <w:tr w:rsidR="00625719" w:rsidRPr="00481957" w:rsidTr="005E400E">
        <w:trPr>
          <w:trHeight w:val="284"/>
        </w:trPr>
        <w:tc>
          <w:tcPr>
            <w:tcW w:w="5529"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481957" w:rsidRDefault="00625719" w:rsidP="00F161D7">
            <w:pPr>
              <w:jc w:val="center"/>
              <w:rPr>
                <w:b/>
                <w:bCs/>
                <w:color w:val="000000"/>
                <w:sz w:val="14"/>
                <w:szCs w:val="20"/>
                <w:lang w:val="es-GT" w:eastAsia="es-GT"/>
              </w:rPr>
            </w:pPr>
            <w:r w:rsidRPr="00481957">
              <w:rPr>
                <w:b/>
                <w:bCs/>
                <w:color w:val="000000"/>
                <w:sz w:val="14"/>
                <w:szCs w:val="20"/>
                <w:lang w:val="es-GT" w:eastAsia="es-GT"/>
              </w:rPr>
              <w:t>DESCRIPCION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625719" w:rsidRPr="00481957" w:rsidRDefault="00625719" w:rsidP="00F161D7">
            <w:pPr>
              <w:jc w:val="center"/>
              <w:rPr>
                <w:b/>
                <w:bCs/>
                <w:color w:val="000000"/>
                <w:sz w:val="14"/>
                <w:szCs w:val="20"/>
                <w:lang w:val="es-GT" w:eastAsia="es-GT"/>
              </w:rPr>
            </w:pPr>
            <w:r w:rsidRPr="00481957">
              <w:rPr>
                <w:b/>
                <w:bCs/>
                <w:color w:val="000000"/>
                <w:sz w:val="14"/>
                <w:szCs w:val="20"/>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481957" w:rsidRDefault="00625719" w:rsidP="00F161D7">
            <w:pPr>
              <w:jc w:val="center"/>
              <w:rPr>
                <w:b/>
                <w:bCs/>
                <w:color w:val="000000"/>
                <w:sz w:val="14"/>
                <w:szCs w:val="20"/>
                <w:lang w:val="es-GT" w:eastAsia="es-GT"/>
              </w:rPr>
            </w:pPr>
            <w:r w:rsidRPr="00481957">
              <w:rPr>
                <w:b/>
                <w:bCs/>
                <w:color w:val="000000"/>
                <w:sz w:val="14"/>
                <w:szCs w:val="20"/>
                <w:lang w:val="es-GT" w:eastAsia="es-GT"/>
              </w:rPr>
              <w:t>EJECUCIÓN</w:t>
            </w:r>
          </w:p>
        </w:tc>
        <w:tc>
          <w:tcPr>
            <w:tcW w:w="992" w:type="dxa"/>
            <w:tcBorders>
              <w:top w:val="single" w:sz="8" w:space="0" w:color="auto"/>
              <w:left w:val="nil"/>
              <w:bottom w:val="single" w:sz="4" w:space="0" w:color="auto"/>
              <w:right w:val="single" w:sz="4" w:space="0" w:color="auto"/>
            </w:tcBorders>
            <w:shd w:val="clear" w:color="000000" w:fill="8DB4E2"/>
            <w:noWrap/>
            <w:hideMark/>
          </w:tcPr>
          <w:p w:rsidR="00625719" w:rsidRPr="00481957" w:rsidRDefault="00625719" w:rsidP="00F161D7">
            <w:pPr>
              <w:jc w:val="center"/>
              <w:rPr>
                <w:b/>
                <w:bCs/>
                <w:color w:val="000000"/>
                <w:sz w:val="14"/>
                <w:szCs w:val="20"/>
                <w:lang w:val="es-GT" w:eastAsia="es-GT"/>
              </w:rPr>
            </w:pPr>
            <w:r w:rsidRPr="00481957">
              <w:rPr>
                <w:b/>
                <w:bCs/>
                <w:color w:val="000000"/>
                <w:sz w:val="14"/>
                <w:szCs w:val="20"/>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hideMark/>
          </w:tcPr>
          <w:p w:rsidR="00625719" w:rsidRPr="00481957" w:rsidRDefault="00625719" w:rsidP="00F161D7">
            <w:pPr>
              <w:jc w:val="center"/>
              <w:rPr>
                <w:b/>
                <w:bCs/>
                <w:color w:val="000000"/>
                <w:sz w:val="14"/>
                <w:szCs w:val="20"/>
                <w:lang w:val="es-GT" w:eastAsia="es-GT"/>
              </w:rPr>
            </w:pPr>
            <w:r w:rsidRPr="00481957">
              <w:rPr>
                <w:b/>
                <w:bCs/>
                <w:color w:val="000000"/>
                <w:sz w:val="14"/>
                <w:szCs w:val="20"/>
                <w:lang w:val="es-GT" w:eastAsia="es-GT"/>
              </w:rPr>
              <w:t>% Ejec</w:t>
            </w:r>
          </w:p>
        </w:tc>
      </w:tr>
      <w:tr w:rsidR="00625719" w:rsidRPr="00481957" w:rsidTr="005E400E">
        <w:trPr>
          <w:trHeight w:val="284"/>
        </w:trPr>
        <w:tc>
          <w:tcPr>
            <w:tcW w:w="5529" w:type="dxa"/>
            <w:tcBorders>
              <w:top w:val="nil"/>
              <w:left w:val="single" w:sz="8" w:space="0" w:color="auto"/>
              <w:bottom w:val="nil"/>
              <w:right w:val="single" w:sz="4" w:space="0" w:color="auto"/>
            </w:tcBorders>
            <w:shd w:val="clear" w:color="FFFFFF" w:fill="FFFFFF"/>
            <w:noWrap/>
            <w:vAlign w:val="center"/>
            <w:hideMark/>
          </w:tcPr>
          <w:p w:rsidR="00625719" w:rsidRPr="00481957" w:rsidRDefault="00625719" w:rsidP="00F161D7">
            <w:pPr>
              <w:rPr>
                <w:b/>
                <w:bCs/>
                <w:color w:val="333333"/>
                <w:sz w:val="14"/>
                <w:szCs w:val="20"/>
                <w:lang w:val="es-GT" w:eastAsia="es-GT"/>
              </w:rPr>
            </w:pPr>
            <w:r w:rsidRPr="00481957">
              <w:rPr>
                <w:b/>
                <w:bCs/>
                <w:color w:val="333333"/>
                <w:sz w:val="14"/>
                <w:szCs w:val="20"/>
                <w:lang w:val="es-GT" w:eastAsia="es-GT"/>
              </w:rPr>
              <w:t>MINISTERIO DE ENERGÍA Y MINAS</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b/>
                <w:bCs/>
                <w:color w:val="333333"/>
                <w:sz w:val="14"/>
                <w:szCs w:val="20"/>
                <w:lang w:val="es-GT" w:eastAsia="es-GT"/>
              </w:rPr>
            </w:pPr>
            <w:r w:rsidRPr="00481957">
              <w:rPr>
                <w:b/>
                <w:bCs/>
                <w:color w:val="333333"/>
                <w:sz w:val="14"/>
                <w:szCs w:val="20"/>
                <w:lang w:val="es-GT" w:eastAsia="es-GT"/>
              </w:rPr>
              <w:t>81.0</w:t>
            </w:r>
          </w:p>
        </w:tc>
        <w:tc>
          <w:tcPr>
            <w:tcW w:w="1134"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b/>
                <w:bCs/>
                <w:color w:val="333333"/>
                <w:sz w:val="14"/>
                <w:szCs w:val="20"/>
                <w:lang w:val="es-GT" w:eastAsia="es-GT"/>
              </w:rPr>
            </w:pPr>
            <w:r w:rsidRPr="00481957">
              <w:rPr>
                <w:b/>
                <w:bCs/>
                <w:color w:val="333333"/>
                <w:sz w:val="14"/>
                <w:szCs w:val="20"/>
                <w:lang w:val="es-GT" w:eastAsia="es-GT"/>
              </w:rPr>
              <w:t>71.8</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b/>
                <w:bCs/>
                <w:color w:val="333333"/>
                <w:sz w:val="14"/>
                <w:szCs w:val="20"/>
                <w:lang w:val="es-GT" w:eastAsia="es-GT"/>
              </w:rPr>
            </w:pPr>
            <w:r w:rsidRPr="00481957">
              <w:rPr>
                <w:b/>
                <w:bCs/>
                <w:color w:val="333333"/>
                <w:sz w:val="14"/>
                <w:szCs w:val="20"/>
                <w:lang w:val="es-GT" w:eastAsia="es-GT"/>
              </w:rPr>
              <w:t>9.2</w:t>
            </w:r>
          </w:p>
        </w:tc>
        <w:tc>
          <w:tcPr>
            <w:tcW w:w="851" w:type="dxa"/>
            <w:tcBorders>
              <w:top w:val="nil"/>
              <w:left w:val="nil"/>
              <w:bottom w:val="nil"/>
              <w:right w:val="single" w:sz="8" w:space="0" w:color="auto"/>
            </w:tcBorders>
            <w:shd w:val="clear" w:color="FFFFFF" w:fill="FFFFFF"/>
            <w:noWrap/>
            <w:vAlign w:val="center"/>
            <w:hideMark/>
          </w:tcPr>
          <w:p w:rsidR="00625719" w:rsidRPr="00481957" w:rsidRDefault="00625719" w:rsidP="00F161D7">
            <w:pPr>
              <w:jc w:val="right"/>
              <w:rPr>
                <w:b/>
                <w:bCs/>
                <w:color w:val="333333"/>
                <w:sz w:val="14"/>
                <w:szCs w:val="20"/>
                <w:lang w:val="es-GT" w:eastAsia="es-GT"/>
              </w:rPr>
            </w:pPr>
            <w:r w:rsidRPr="00481957">
              <w:rPr>
                <w:b/>
                <w:bCs/>
                <w:color w:val="333333"/>
                <w:sz w:val="14"/>
                <w:szCs w:val="20"/>
                <w:lang w:val="es-GT" w:eastAsia="es-GT"/>
              </w:rPr>
              <w:t>88.6%</w:t>
            </w:r>
          </w:p>
        </w:tc>
      </w:tr>
      <w:tr w:rsidR="00625719" w:rsidRPr="00481957" w:rsidTr="005E400E">
        <w:trPr>
          <w:trHeight w:val="284"/>
        </w:trPr>
        <w:tc>
          <w:tcPr>
            <w:tcW w:w="5529" w:type="dxa"/>
            <w:tcBorders>
              <w:top w:val="nil"/>
              <w:left w:val="single" w:sz="8" w:space="0" w:color="auto"/>
              <w:bottom w:val="nil"/>
              <w:right w:val="single" w:sz="4" w:space="0" w:color="auto"/>
            </w:tcBorders>
            <w:shd w:val="clear" w:color="FFFFFF" w:fill="FFFFFF"/>
            <w:noWrap/>
            <w:vAlign w:val="center"/>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ACTIVIDADES CENTRALES</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25.8</w:t>
            </w:r>
          </w:p>
        </w:tc>
        <w:tc>
          <w:tcPr>
            <w:tcW w:w="1134"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28.7</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-2.9</w:t>
            </w:r>
          </w:p>
        </w:tc>
        <w:tc>
          <w:tcPr>
            <w:tcW w:w="851" w:type="dxa"/>
            <w:tcBorders>
              <w:top w:val="nil"/>
              <w:left w:val="nil"/>
              <w:bottom w:val="nil"/>
              <w:right w:val="single" w:sz="8"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111.2%</w:t>
            </w:r>
          </w:p>
        </w:tc>
      </w:tr>
      <w:tr w:rsidR="00625719" w:rsidRPr="00481957" w:rsidTr="005E400E">
        <w:trPr>
          <w:trHeight w:val="284"/>
        </w:trPr>
        <w:tc>
          <w:tcPr>
            <w:tcW w:w="5529" w:type="dxa"/>
            <w:tcBorders>
              <w:top w:val="nil"/>
              <w:left w:val="single" w:sz="8" w:space="0" w:color="auto"/>
              <w:bottom w:val="nil"/>
              <w:right w:val="single" w:sz="4" w:space="0" w:color="auto"/>
            </w:tcBorders>
            <w:shd w:val="clear" w:color="FFFFFF" w:fill="FFFFFF"/>
            <w:vAlign w:val="center"/>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EXPLORACION, EXPLOTACION Y COMERCIALIZACION PETROLERA</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17.4</w:t>
            </w:r>
          </w:p>
        </w:tc>
        <w:tc>
          <w:tcPr>
            <w:tcW w:w="1134"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14.2</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3.2</w:t>
            </w:r>
          </w:p>
        </w:tc>
        <w:tc>
          <w:tcPr>
            <w:tcW w:w="851" w:type="dxa"/>
            <w:tcBorders>
              <w:top w:val="nil"/>
              <w:left w:val="nil"/>
              <w:bottom w:val="nil"/>
              <w:right w:val="single" w:sz="8"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81.4%</w:t>
            </w:r>
          </w:p>
        </w:tc>
      </w:tr>
      <w:tr w:rsidR="00625719" w:rsidRPr="00481957" w:rsidTr="005E400E">
        <w:trPr>
          <w:trHeight w:val="284"/>
        </w:trPr>
        <w:tc>
          <w:tcPr>
            <w:tcW w:w="5529" w:type="dxa"/>
            <w:tcBorders>
              <w:top w:val="nil"/>
              <w:left w:val="single" w:sz="8" w:space="0" w:color="auto"/>
              <w:bottom w:val="nil"/>
              <w:right w:val="single" w:sz="4" w:space="0" w:color="auto"/>
            </w:tcBorders>
            <w:shd w:val="clear" w:color="FFFFFF" w:fill="FFFFFF"/>
            <w:noWrap/>
            <w:vAlign w:val="center"/>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EXPLORACION Y EXPLOTACION MINERA</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12.1</w:t>
            </w:r>
          </w:p>
        </w:tc>
        <w:tc>
          <w:tcPr>
            <w:tcW w:w="1134"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10.2</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1.9</w:t>
            </w:r>
          </w:p>
        </w:tc>
        <w:tc>
          <w:tcPr>
            <w:tcW w:w="851" w:type="dxa"/>
            <w:tcBorders>
              <w:top w:val="nil"/>
              <w:left w:val="nil"/>
              <w:bottom w:val="nil"/>
              <w:right w:val="single" w:sz="8"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84.2%</w:t>
            </w:r>
          </w:p>
        </w:tc>
      </w:tr>
      <w:tr w:rsidR="00625719" w:rsidRPr="00481957" w:rsidTr="005E400E">
        <w:trPr>
          <w:trHeight w:val="284"/>
        </w:trPr>
        <w:tc>
          <w:tcPr>
            <w:tcW w:w="5529" w:type="dxa"/>
            <w:tcBorders>
              <w:top w:val="nil"/>
              <w:left w:val="single" w:sz="8" w:space="0" w:color="auto"/>
              <w:bottom w:val="nil"/>
              <w:right w:val="single" w:sz="4" w:space="0" w:color="auto"/>
            </w:tcBorders>
            <w:shd w:val="clear" w:color="FFFFFF" w:fill="FFFFFF"/>
            <w:vAlign w:val="center"/>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INCREMENTO DE LA ENERGIA RENOVABLE EN LA MATRIZ ENERGETICA</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10.9</w:t>
            </w:r>
          </w:p>
        </w:tc>
        <w:tc>
          <w:tcPr>
            <w:tcW w:w="1134"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6.3</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4.6</w:t>
            </w:r>
          </w:p>
        </w:tc>
        <w:tc>
          <w:tcPr>
            <w:tcW w:w="851" w:type="dxa"/>
            <w:tcBorders>
              <w:top w:val="nil"/>
              <w:left w:val="nil"/>
              <w:bottom w:val="nil"/>
              <w:right w:val="single" w:sz="8"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57.9%</w:t>
            </w:r>
          </w:p>
        </w:tc>
      </w:tr>
      <w:tr w:rsidR="00625719" w:rsidRPr="00481957" w:rsidTr="005E400E">
        <w:trPr>
          <w:trHeight w:val="284"/>
        </w:trPr>
        <w:tc>
          <w:tcPr>
            <w:tcW w:w="5529" w:type="dxa"/>
            <w:tcBorders>
              <w:top w:val="nil"/>
              <w:left w:val="single" w:sz="8" w:space="0" w:color="auto"/>
              <w:bottom w:val="nil"/>
              <w:right w:val="single" w:sz="4" w:space="0" w:color="auto"/>
            </w:tcBorders>
            <w:shd w:val="clear" w:color="FFFFFF" w:fill="FFFFFF"/>
            <w:noWrap/>
            <w:vAlign w:val="center"/>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SERVICIOS TECNICOS DE LABORATORIO</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4.2</w:t>
            </w:r>
          </w:p>
        </w:tc>
        <w:tc>
          <w:tcPr>
            <w:tcW w:w="1134"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4.1</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0.1</w:t>
            </w:r>
          </w:p>
        </w:tc>
        <w:tc>
          <w:tcPr>
            <w:tcW w:w="851" w:type="dxa"/>
            <w:tcBorders>
              <w:top w:val="nil"/>
              <w:left w:val="nil"/>
              <w:bottom w:val="nil"/>
              <w:right w:val="single" w:sz="8"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98.7%</w:t>
            </w:r>
          </w:p>
        </w:tc>
      </w:tr>
      <w:tr w:rsidR="00625719" w:rsidRPr="00481957" w:rsidTr="005E400E">
        <w:trPr>
          <w:trHeight w:val="284"/>
        </w:trPr>
        <w:tc>
          <w:tcPr>
            <w:tcW w:w="5529" w:type="dxa"/>
            <w:tcBorders>
              <w:top w:val="nil"/>
              <w:left w:val="single" w:sz="8" w:space="0" w:color="auto"/>
              <w:bottom w:val="nil"/>
              <w:right w:val="single" w:sz="4" w:space="0" w:color="auto"/>
            </w:tcBorders>
            <w:shd w:val="clear" w:color="FFFFFF" w:fill="FFFFFF"/>
            <w:vAlign w:val="center"/>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DESARROLLO SOSTENIBLE DEL SECTOR ENERGETICO, MINERO Y DE HIDROCARBUROS (ACTIVIDAD COMUN A LOS PROGRAMAS 11, 12 Y 15)</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5.8</w:t>
            </w:r>
          </w:p>
        </w:tc>
        <w:tc>
          <w:tcPr>
            <w:tcW w:w="1134"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3.6</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2.3</w:t>
            </w:r>
          </w:p>
        </w:tc>
        <w:tc>
          <w:tcPr>
            <w:tcW w:w="851" w:type="dxa"/>
            <w:tcBorders>
              <w:top w:val="nil"/>
              <w:left w:val="nil"/>
              <w:bottom w:val="nil"/>
              <w:right w:val="single" w:sz="8"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60.8%</w:t>
            </w:r>
          </w:p>
        </w:tc>
      </w:tr>
      <w:tr w:rsidR="00625719" w:rsidRPr="00481957" w:rsidTr="005E400E">
        <w:trPr>
          <w:trHeight w:val="284"/>
        </w:trPr>
        <w:tc>
          <w:tcPr>
            <w:tcW w:w="5529" w:type="dxa"/>
            <w:tcBorders>
              <w:top w:val="nil"/>
              <w:left w:val="single" w:sz="8" w:space="0" w:color="auto"/>
              <w:bottom w:val="nil"/>
              <w:right w:val="single" w:sz="4" w:space="0" w:color="auto"/>
            </w:tcBorders>
            <w:shd w:val="clear" w:color="FFFFFF" w:fill="FFFFFF"/>
            <w:noWrap/>
            <w:vAlign w:val="center"/>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SEGURIDAD RADIOLOGICA</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4.4</w:t>
            </w:r>
          </w:p>
        </w:tc>
        <w:tc>
          <w:tcPr>
            <w:tcW w:w="1134"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2.9</w:t>
            </w:r>
          </w:p>
        </w:tc>
        <w:tc>
          <w:tcPr>
            <w:tcW w:w="992" w:type="dxa"/>
            <w:tcBorders>
              <w:top w:val="nil"/>
              <w:left w:val="nil"/>
              <w:bottom w:val="nil"/>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1.5</w:t>
            </w:r>
          </w:p>
        </w:tc>
        <w:tc>
          <w:tcPr>
            <w:tcW w:w="851" w:type="dxa"/>
            <w:tcBorders>
              <w:top w:val="nil"/>
              <w:left w:val="nil"/>
              <w:bottom w:val="nil"/>
              <w:right w:val="single" w:sz="8"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66.1%</w:t>
            </w:r>
          </w:p>
        </w:tc>
      </w:tr>
      <w:tr w:rsidR="00625719" w:rsidRPr="00481957" w:rsidTr="005E400E">
        <w:trPr>
          <w:trHeight w:val="284"/>
        </w:trPr>
        <w:tc>
          <w:tcPr>
            <w:tcW w:w="5529" w:type="dxa"/>
            <w:tcBorders>
              <w:top w:val="nil"/>
              <w:left w:val="single" w:sz="8" w:space="0" w:color="auto"/>
              <w:bottom w:val="single" w:sz="8" w:space="0" w:color="auto"/>
              <w:right w:val="single" w:sz="4" w:space="0" w:color="auto"/>
            </w:tcBorders>
            <w:shd w:val="clear" w:color="FFFFFF" w:fill="FFFFFF"/>
            <w:noWrap/>
            <w:vAlign w:val="center"/>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PARTIDAS NO ASIGNABLES A PROGRAMAS</w:t>
            </w:r>
          </w:p>
        </w:tc>
        <w:tc>
          <w:tcPr>
            <w:tcW w:w="992"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0.3</w:t>
            </w:r>
          </w:p>
        </w:tc>
        <w:tc>
          <w:tcPr>
            <w:tcW w:w="1134" w:type="dxa"/>
            <w:tcBorders>
              <w:top w:val="nil"/>
              <w:left w:val="nil"/>
              <w:bottom w:val="single" w:sz="8" w:space="0" w:color="auto"/>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1.7</w:t>
            </w:r>
          </w:p>
        </w:tc>
        <w:tc>
          <w:tcPr>
            <w:tcW w:w="992"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-1.5</w:t>
            </w:r>
          </w:p>
        </w:tc>
        <w:tc>
          <w:tcPr>
            <w:tcW w:w="851" w:type="dxa"/>
            <w:tcBorders>
              <w:top w:val="nil"/>
              <w:left w:val="single" w:sz="4" w:space="0" w:color="auto"/>
              <w:bottom w:val="single" w:sz="8" w:space="0" w:color="auto"/>
              <w:right w:val="single" w:sz="8" w:space="0" w:color="auto"/>
            </w:tcBorders>
            <w:shd w:val="clear" w:color="FFFFFF" w:fill="FFFFFF"/>
            <w:noWrap/>
            <w:vAlign w:val="center"/>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653.9%</w:t>
            </w: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Default="00625719" w:rsidP="00625719">
      <w:pPr>
        <w:jc w:val="both"/>
      </w:pPr>
    </w:p>
    <w:p w:rsidR="00625719" w:rsidRPr="00D108FD" w:rsidRDefault="00625719" w:rsidP="00625719">
      <w:pPr>
        <w:jc w:val="both"/>
      </w:pPr>
    </w:p>
    <w:p w:rsidR="00625719" w:rsidRDefault="00625719" w:rsidP="00625719">
      <w:pPr>
        <w:jc w:val="both"/>
        <w:rPr>
          <w:b/>
        </w:rPr>
      </w:pPr>
      <w:r w:rsidRPr="00D108FD">
        <w:rPr>
          <w:b/>
        </w:rPr>
        <w:t>Ministerio de Cultura y Deportes</w:t>
      </w:r>
      <w:r>
        <w:rPr>
          <w:b/>
        </w:rPr>
        <w:t>:</w:t>
      </w:r>
    </w:p>
    <w:p w:rsidR="00625719" w:rsidRPr="00D108FD" w:rsidRDefault="00625719" w:rsidP="00625719">
      <w:pPr>
        <w:jc w:val="both"/>
        <w:rPr>
          <w:b/>
        </w:rPr>
      </w:pPr>
    </w:p>
    <w:p w:rsidR="00625719" w:rsidRDefault="00625719" w:rsidP="00625719">
      <w:pPr>
        <w:jc w:val="both"/>
      </w:pPr>
      <w:r w:rsidRPr="00D108FD">
        <w:t xml:space="preserve">Este </w:t>
      </w:r>
      <w:r>
        <w:t>M</w:t>
      </w:r>
      <w:r w:rsidRPr="00D108FD">
        <w:t xml:space="preserve">inisterio </w:t>
      </w:r>
      <w:r>
        <w:t>contó</w:t>
      </w:r>
      <w:r w:rsidRPr="00D108FD">
        <w:t xml:space="preserve"> con un presupuesto</w:t>
      </w:r>
      <w:r>
        <w:t xml:space="preserve"> aprobado</w:t>
      </w:r>
      <w:r w:rsidRPr="00D108FD">
        <w:t xml:space="preserve"> de </w:t>
      </w:r>
      <w:r>
        <w:t>Q</w:t>
      </w:r>
      <w:r w:rsidR="005E400E">
        <w:t>.</w:t>
      </w:r>
      <w:r>
        <w:t>623.0</w:t>
      </w:r>
      <w:r w:rsidRPr="00D108FD">
        <w:t xml:space="preserve"> millones y una ejecución presupuestaria de </w:t>
      </w:r>
      <w:r>
        <w:t>Q</w:t>
      </w:r>
      <w:r w:rsidR="005E400E">
        <w:t>.</w:t>
      </w:r>
      <w:r w:rsidRPr="00D108FD">
        <w:t>4</w:t>
      </w:r>
      <w:r>
        <w:t>79.0</w:t>
      </w:r>
      <w:r w:rsidRPr="00D108FD">
        <w:t xml:space="preserve"> millones equivalente al 7</w:t>
      </w:r>
      <w:r>
        <w:t>6.9</w:t>
      </w:r>
      <w:r w:rsidRPr="00D108FD">
        <w:t>%.</w:t>
      </w:r>
    </w:p>
    <w:p w:rsidR="00625719" w:rsidRPr="00D108FD" w:rsidRDefault="00625719" w:rsidP="00625719">
      <w:pPr>
        <w:jc w:val="both"/>
      </w:pPr>
    </w:p>
    <w:p w:rsidR="005E400E" w:rsidRDefault="005E400E" w:rsidP="00625719">
      <w:pPr>
        <w:jc w:val="both"/>
      </w:pPr>
    </w:p>
    <w:p w:rsidR="006469FA" w:rsidRDefault="006469FA" w:rsidP="00625719">
      <w:pPr>
        <w:jc w:val="both"/>
      </w:pPr>
    </w:p>
    <w:p w:rsidR="00625719" w:rsidRDefault="00625719" w:rsidP="00625719">
      <w:pPr>
        <w:jc w:val="both"/>
      </w:pPr>
      <w:r w:rsidRPr="00D108FD">
        <w:t xml:space="preserve">Dentro de los programas con mayor cantidad de recursos ejecutados, se ubica “Fomento al Deporte No Federado y a la Recreación” con un presupuesto de </w:t>
      </w:r>
      <w:r>
        <w:t>Q</w:t>
      </w:r>
      <w:r w:rsidR="005E400E">
        <w:t>.</w:t>
      </w:r>
      <w:r w:rsidRPr="00D108FD">
        <w:t>2</w:t>
      </w:r>
      <w:r>
        <w:t>9</w:t>
      </w:r>
      <w:r w:rsidRPr="00D108FD">
        <w:t>1</w:t>
      </w:r>
      <w:r>
        <w:t>.9</w:t>
      </w:r>
      <w:r w:rsidRPr="00D108FD">
        <w:t xml:space="preserve"> millones, y su ejecución fue de </w:t>
      </w:r>
      <w:r>
        <w:t>Q</w:t>
      </w:r>
      <w:r w:rsidR="005E400E">
        <w:t>.</w:t>
      </w:r>
      <w:r w:rsidRPr="00D108FD">
        <w:t>1</w:t>
      </w:r>
      <w:r>
        <w:t>71.2</w:t>
      </w:r>
      <w:r w:rsidRPr="00D108FD">
        <w:t xml:space="preserve"> millones equivalente al </w:t>
      </w:r>
      <w:r>
        <w:t>5</w:t>
      </w:r>
      <w:r w:rsidRPr="00D108FD">
        <w:t>8</w:t>
      </w:r>
      <w:r>
        <w:t>.7</w:t>
      </w:r>
      <w:r w:rsidRPr="00D108FD">
        <w:t>%.</w:t>
      </w:r>
    </w:p>
    <w:p w:rsidR="00625719" w:rsidRPr="00D108FD" w:rsidRDefault="00625719" w:rsidP="00625719">
      <w:pPr>
        <w:jc w:val="both"/>
      </w:pPr>
    </w:p>
    <w:p w:rsidR="00625719" w:rsidRDefault="00625719" w:rsidP="00625719">
      <w:pPr>
        <w:jc w:val="both"/>
      </w:pPr>
      <w:r w:rsidRPr="00D108FD">
        <w:t>El siguiente programa fue “Restauración, Preservación y Protección del Patrimonio Cultural y Natural” el cual tuvo un presupuesto</w:t>
      </w:r>
      <w:r>
        <w:t xml:space="preserve"> inicial</w:t>
      </w:r>
      <w:r w:rsidRPr="00D108FD">
        <w:t xml:space="preserve"> de </w:t>
      </w:r>
      <w:r>
        <w:t>Q</w:t>
      </w:r>
      <w:r w:rsidR="005E400E">
        <w:t>.</w:t>
      </w:r>
      <w:r w:rsidRPr="00D108FD">
        <w:t>15</w:t>
      </w:r>
      <w:r>
        <w:t>4.3</w:t>
      </w:r>
      <w:r w:rsidRPr="00D108FD">
        <w:t xml:space="preserve"> millones y una ejecución presupuestaria de </w:t>
      </w:r>
      <w:r>
        <w:t>Q</w:t>
      </w:r>
      <w:r w:rsidR="005E400E">
        <w:t>.</w:t>
      </w:r>
      <w:r w:rsidRPr="00D108FD">
        <w:t>1</w:t>
      </w:r>
      <w:r>
        <w:t>44.7</w:t>
      </w:r>
      <w:r w:rsidRPr="00D108FD">
        <w:t xml:space="preserve"> millones equivalente al </w:t>
      </w:r>
      <w:r>
        <w:t>93.8</w:t>
      </w:r>
      <w:r w:rsidRPr="00D108FD">
        <w:t>%</w:t>
      </w:r>
      <w:r>
        <w:t>.</w:t>
      </w:r>
    </w:p>
    <w:p w:rsidR="00625719" w:rsidRPr="00D108FD" w:rsidRDefault="00625719" w:rsidP="00625719">
      <w:pPr>
        <w:jc w:val="both"/>
      </w:pPr>
    </w:p>
    <w:p w:rsidR="00625719" w:rsidRDefault="00625719" w:rsidP="00625719">
      <w:pPr>
        <w:jc w:val="both"/>
      </w:pPr>
      <w:r w:rsidRPr="00D108FD">
        <w:t xml:space="preserve">Finalmente, dentro de los programas con mayor asignación se ubica el programa de “Formación, Fomento y Difusión de las Artes” con un presupuesto de </w:t>
      </w:r>
      <w:r>
        <w:t>Q</w:t>
      </w:r>
      <w:r w:rsidR="005E400E">
        <w:t>.</w:t>
      </w:r>
      <w:r w:rsidRPr="00D108FD">
        <w:t>1</w:t>
      </w:r>
      <w:r>
        <w:t>07.0</w:t>
      </w:r>
      <w:r w:rsidRPr="00D108FD">
        <w:t xml:space="preserve"> millones y una ejecución presupuestaria de </w:t>
      </w:r>
      <w:r>
        <w:t>Q</w:t>
      </w:r>
      <w:r w:rsidR="005E400E">
        <w:t>.</w:t>
      </w:r>
      <w:r w:rsidRPr="00D108FD">
        <w:t>9</w:t>
      </w:r>
      <w:r>
        <w:t>7.8</w:t>
      </w:r>
      <w:r w:rsidRPr="00D108FD">
        <w:t xml:space="preserve"> millones equivalente</w:t>
      </w:r>
      <w:r>
        <w:t xml:space="preserve"> al 91.4%</w:t>
      </w:r>
      <w:r w:rsidRPr="00D108FD">
        <w:t>.</w:t>
      </w:r>
    </w:p>
    <w:p w:rsidR="00625719" w:rsidRPr="00D108FD" w:rsidRDefault="00625719" w:rsidP="00625719">
      <w:pPr>
        <w:jc w:val="both"/>
      </w:pPr>
    </w:p>
    <w:p w:rsidR="00625719" w:rsidRDefault="00625719" w:rsidP="00625719">
      <w:pPr>
        <w:jc w:val="both"/>
      </w:pPr>
      <w:r w:rsidRPr="00D108FD">
        <w:t xml:space="preserve">Quedan 3 programas restantes para completar la ejecución presupuestaria, los cuales se ubicaron por debajo de los </w:t>
      </w:r>
      <w:r>
        <w:t>Q</w:t>
      </w:r>
      <w:r w:rsidR="005E400E">
        <w:t>.</w:t>
      </w:r>
      <w:r w:rsidRPr="00D108FD">
        <w:t>25.0 millones, según se observa en el cuadro que se presenta a continuación</w:t>
      </w:r>
      <w:r>
        <w:t>:</w:t>
      </w: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Programa!F144C2:F151C6" \a \f 4 \h  \* MERGEFORMAT </w:instrText>
      </w:r>
      <w:r>
        <w:rPr>
          <w:noProof/>
          <w:lang w:val="es-GT" w:eastAsia="es-GT"/>
        </w:rPr>
        <w:fldChar w:fldCharType="separate"/>
      </w:r>
    </w:p>
    <w:tbl>
      <w:tblPr>
        <w:tblW w:w="9356" w:type="dxa"/>
        <w:tblInd w:w="70" w:type="dxa"/>
        <w:tblCellMar>
          <w:left w:w="70" w:type="dxa"/>
          <w:right w:w="70" w:type="dxa"/>
        </w:tblCellMar>
        <w:tblLook w:val="04A0" w:firstRow="1" w:lastRow="0" w:firstColumn="1" w:lastColumn="0" w:noHBand="0" w:noVBand="1"/>
      </w:tblPr>
      <w:tblGrid>
        <w:gridCol w:w="5103"/>
        <w:gridCol w:w="1276"/>
        <w:gridCol w:w="1276"/>
        <w:gridCol w:w="850"/>
        <w:gridCol w:w="851"/>
      </w:tblGrid>
      <w:tr w:rsidR="00625719" w:rsidRPr="00481957" w:rsidTr="005E400E">
        <w:trPr>
          <w:trHeight w:val="284"/>
        </w:trPr>
        <w:tc>
          <w:tcPr>
            <w:tcW w:w="5103"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481957" w:rsidRDefault="00625719" w:rsidP="00F161D7">
            <w:pPr>
              <w:jc w:val="center"/>
              <w:rPr>
                <w:b/>
                <w:bCs/>
                <w:color w:val="000000"/>
                <w:sz w:val="14"/>
                <w:szCs w:val="20"/>
                <w:lang w:val="es-GT" w:eastAsia="es-GT"/>
              </w:rPr>
            </w:pPr>
            <w:r w:rsidRPr="00481957">
              <w:rPr>
                <w:b/>
                <w:bCs/>
                <w:color w:val="000000"/>
                <w:sz w:val="14"/>
                <w:szCs w:val="20"/>
                <w:lang w:val="es-GT" w:eastAsia="es-GT"/>
              </w:rPr>
              <w:t>DESCRIPCION</w:t>
            </w:r>
          </w:p>
        </w:tc>
        <w:tc>
          <w:tcPr>
            <w:tcW w:w="1276" w:type="dxa"/>
            <w:tcBorders>
              <w:top w:val="single" w:sz="8" w:space="0" w:color="auto"/>
              <w:left w:val="nil"/>
              <w:bottom w:val="single" w:sz="4" w:space="0" w:color="auto"/>
              <w:right w:val="single" w:sz="4" w:space="0" w:color="auto"/>
            </w:tcBorders>
            <w:shd w:val="clear" w:color="000000" w:fill="8DB4E2"/>
            <w:noWrap/>
            <w:hideMark/>
          </w:tcPr>
          <w:p w:rsidR="00625719" w:rsidRPr="00481957" w:rsidRDefault="00625719" w:rsidP="00F161D7">
            <w:pPr>
              <w:jc w:val="center"/>
              <w:rPr>
                <w:b/>
                <w:bCs/>
                <w:color w:val="000000"/>
                <w:sz w:val="14"/>
                <w:szCs w:val="20"/>
                <w:lang w:val="es-GT" w:eastAsia="es-GT"/>
              </w:rPr>
            </w:pPr>
            <w:r w:rsidRPr="00481957">
              <w:rPr>
                <w:b/>
                <w:bCs/>
                <w:color w:val="000000"/>
                <w:sz w:val="14"/>
                <w:szCs w:val="20"/>
                <w:lang w:val="es-GT" w:eastAsia="es-GT"/>
              </w:rPr>
              <w:t>ASIGNADO</w:t>
            </w:r>
          </w:p>
        </w:tc>
        <w:tc>
          <w:tcPr>
            <w:tcW w:w="1276" w:type="dxa"/>
            <w:tcBorders>
              <w:top w:val="single" w:sz="8" w:space="0" w:color="auto"/>
              <w:left w:val="nil"/>
              <w:bottom w:val="single" w:sz="4" w:space="0" w:color="auto"/>
              <w:right w:val="single" w:sz="4" w:space="0" w:color="auto"/>
            </w:tcBorders>
            <w:shd w:val="clear" w:color="000000" w:fill="8DB4E2"/>
            <w:noWrap/>
            <w:hideMark/>
          </w:tcPr>
          <w:p w:rsidR="00625719" w:rsidRPr="00481957" w:rsidRDefault="00625719" w:rsidP="00F161D7">
            <w:pPr>
              <w:jc w:val="center"/>
              <w:rPr>
                <w:b/>
                <w:bCs/>
                <w:color w:val="000000"/>
                <w:sz w:val="14"/>
                <w:szCs w:val="20"/>
                <w:lang w:val="es-GT" w:eastAsia="es-GT"/>
              </w:rPr>
            </w:pPr>
            <w:r w:rsidRPr="00481957">
              <w:rPr>
                <w:b/>
                <w:bCs/>
                <w:color w:val="000000"/>
                <w:sz w:val="14"/>
                <w:szCs w:val="20"/>
                <w:lang w:val="es-GT" w:eastAsia="es-GT"/>
              </w:rPr>
              <w:t>EJECUCIÓN</w:t>
            </w:r>
          </w:p>
        </w:tc>
        <w:tc>
          <w:tcPr>
            <w:tcW w:w="850" w:type="dxa"/>
            <w:tcBorders>
              <w:top w:val="single" w:sz="8" w:space="0" w:color="auto"/>
              <w:left w:val="nil"/>
              <w:bottom w:val="single" w:sz="4" w:space="0" w:color="auto"/>
              <w:right w:val="single" w:sz="4" w:space="0" w:color="auto"/>
            </w:tcBorders>
            <w:shd w:val="clear" w:color="000000" w:fill="8DB4E2"/>
            <w:noWrap/>
            <w:hideMark/>
          </w:tcPr>
          <w:p w:rsidR="00625719" w:rsidRPr="00481957" w:rsidRDefault="00625719" w:rsidP="00F161D7">
            <w:pPr>
              <w:jc w:val="center"/>
              <w:rPr>
                <w:b/>
                <w:bCs/>
                <w:color w:val="000000"/>
                <w:sz w:val="14"/>
                <w:szCs w:val="20"/>
                <w:lang w:val="es-GT" w:eastAsia="es-GT"/>
              </w:rPr>
            </w:pPr>
            <w:r w:rsidRPr="00481957">
              <w:rPr>
                <w:b/>
                <w:bCs/>
                <w:color w:val="000000"/>
                <w:sz w:val="14"/>
                <w:szCs w:val="20"/>
                <w:lang w:val="es-GT" w:eastAsia="es-GT"/>
              </w:rPr>
              <w:t>Diferencias</w:t>
            </w:r>
          </w:p>
        </w:tc>
        <w:tc>
          <w:tcPr>
            <w:tcW w:w="851" w:type="dxa"/>
            <w:tcBorders>
              <w:top w:val="single" w:sz="8" w:space="0" w:color="auto"/>
              <w:left w:val="nil"/>
              <w:bottom w:val="single" w:sz="4" w:space="0" w:color="auto"/>
              <w:right w:val="single" w:sz="8" w:space="0" w:color="auto"/>
            </w:tcBorders>
            <w:shd w:val="clear" w:color="000000" w:fill="8DB4E2"/>
            <w:noWrap/>
            <w:hideMark/>
          </w:tcPr>
          <w:p w:rsidR="00625719" w:rsidRPr="00481957" w:rsidRDefault="00625719" w:rsidP="00F161D7">
            <w:pPr>
              <w:jc w:val="center"/>
              <w:rPr>
                <w:b/>
                <w:bCs/>
                <w:color w:val="000000"/>
                <w:sz w:val="14"/>
                <w:szCs w:val="20"/>
                <w:lang w:val="es-GT" w:eastAsia="es-GT"/>
              </w:rPr>
            </w:pPr>
            <w:r w:rsidRPr="00481957">
              <w:rPr>
                <w:b/>
                <w:bCs/>
                <w:color w:val="000000"/>
                <w:sz w:val="14"/>
                <w:szCs w:val="20"/>
                <w:lang w:val="es-GT" w:eastAsia="es-GT"/>
              </w:rPr>
              <w:t>% Ejec</w:t>
            </w:r>
          </w:p>
        </w:tc>
      </w:tr>
      <w:tr w:rsidR="00625719" w:rsidRPr="00481957" w:rsidTr="005E400E">
        <w:trPr>
          <w:trHeight w:val="284"/>
        </w:trPr>
        <w:tc>
          <w:tcPr>
            <w:tcW w:w="5103" w:type="dxa"/>
            <w:tcBorders>
              <w:top w:val="nil"/>
              <w:left w:val="single" w:sz="8" w:space="0" w:color="auto"/>
              <w:bottom w:val="nil"/>
              <w:right w:val="single" w:sz="4" w:space="0" w:color="auto"/>
            </w:tcBorders>
            <w:shd w:val="clear" w:color="FFFFFF" w:fill="FFFFFF"/>
            <w:noWrap/>
            <w:vAlign w:val="bottom"/>
            <w:hideMark/>
          </w:tcPr>
          <w:p w:rsidR="00625719" w:rsidRPr="00481957" w:rsidRDefault="00625719" w:rsidP="00F161D7">
            <w:pPr>
              <w:rPr>
                <w:b/>
                <w:bCs/>
                <w:color w:val="333333"/>
                <w:sz w:val="14"/>
                <w:szCs w:val="20"/>
                <w:lang w:val="es-GT" w:eastAsia="es-GT"/>
              </w:rPr>
            </w:pPr>
            <w:r w:rsidRPr="00481957">
              <w:rPr>
                <w:b/>
                <w:bCs/>
                <w:color w:val="333333"/>
                <w:sz w:val="14"/>
                <w:szCs w:val="20"/>
                <w:lang w:val="es-GT" w:eastAsia="es-GT"/>
              </w:rPr>
              <w:t>MINISTERIO DE CULTURA Y DEPORTES</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b/>
                <w:bCs/>
                <w:color w:val="333333"/>
                <w:sz w:val="14"/>
                <w:szCs w:val="20"/>
                <w:lang w:val="es-GT" w:eastAsia="es-GT"/>
              </w:rPr>
            </w:pPr>
            <w:r w:rsidRPr="00481957">
              <w:rPr>
                <w:b/>
                <w:bCs/>
                <w:color w:val="333333"/>
                <w:sz w:val="14"/>
                <w:szCs w:val="20"/>
                <w:lang w:val="es-GT" w:eastAsia="es-GT"/>
              </w:rPr>
              <w:t>623.0</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b/>
                <w:bCs/>
                <w:color w:val="333333"/>
                <w:sz w:val="14"/>
                <w:szCs w:val="20"/>
                <w:lang w:val="es-GT" w:eastAsia="es-GT"/>
              </w:rPr>
            </w:pPr>
            <w:r w:rsidRPr="00481957">
              <w:rPr>
                <w:b/>
                <w:bCs/>
                <w:color w:val="333333"/>
                <w:sz w:val="14"/>
                <w:szCs w:val="20"/>
                <w:lang w:val="es-GT" w:eastAsia="es-GT"/>
              </w:rPr>
              <w:t>479.0</w:t>
            </w:r>
          </w:p>
        </w:tc>
        <w:tc>
          <w:tcPr>
            <w:tcW w:w="850"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b/>
                <w:bCs/>
                <w:color w:val="333333"/>
                <w:sz w:val="14"/>
                <w:szCs w:val="20"/>
                <w:lang w:val="es-GT" w:eastAsia="es-GT"/>
              </w:rPr>
            </w:pPr>
            <w:r w:rsidRPr="00481957">
              <w:rPr>
                <w:b/>
                <w:bCs/>
                <w:color w:val="333333"/>
                <w:sz w:val="14"/>
                <w:szCs w:val="20"/>
                <w:lang w:val="es-GT" w:eastAsia="es-GT"/>
              </w:rPr>
              <w:t>144.0</w:t>
            </w:r>
          </w:p>
        </w:tc>
        <w:tc>
          <w:tcPr>
            <w:tcW w:w="851" w:type="dxa"/>
            <w:tcBorders>
              <w:top w:val="nil"/>
              <w:left w:val="nil"/>
              <w:bottom w:val="nil"/>
              <w:right w:val="single" w:sz="8" w:space="0" w:color="auto"/>
            </w:tcBorders>
            <w:shd w:val="clear" w:color="FFFFFF" w:fill="FFFFFF"/>
            <w:noWrap/>
            <w:vAlign w:val="bottom"/>
            <w:hideMark/>
          </w:tcPr>
          <w:p w:rsidR="00625719" w:rsidRPr="00481957" w:rsidRDefault="00625719" w:rsidP="00F161D7">
            <w:pPr>
              <w:jc w:val="right"/>
              <w:rPr>
                <w:b/>
                <w:bCs/>
                <w:color w:val="333333"/>
                <w:sz w:val="14"/>
                <w:szCs w:val="20"/>
                <w:lang w:val="es-GT" w:eastAsia="es-GT"/>
              </w:rPr>
            </w:pPr>
            <w:r w:rsidRPr="00481957">
              <w:rPr>
                <w:b/>
                <w:bCs/>
                <w:color w:val="333333"/>
                <w:sz w:val="14"/>
                <w:szCs w:val="20"/>
                <w:lang w:val="es-GT" w:eastAsia="es-GT"/>
              </w:rPr>
              <w:t>76.9%</w:t>
            </w:r>
          </w:p>
        </w:tc>
      </w:tr>
      <w:tr w:rsidR="00625719" w:rsidRPr="00481957" w:rsidTr="005E400E">
        <w:trPr>
          <w:trHeight w:val="284"/>
        </w:trPr>
        <w:tc>
          <w:tcPr>
            <w:tcW w:w="5103" w:type="dxa"/>
            <w:tcBorders>
              <w:top w:val="nil"/>
              <w:left w:val="single" w:sz="8" w:space="0" w:color="auto"/>
              <w:bottom w:val="nil"/>
              <w:right w:val="single" w:sz="4" w:space="0" w:color="auto"/>
            </w:tcBorders>
            <w:shd w:val="clear" w:color="FFFFFF" w:fill="FFFFFF"/>
            <w:vAlign w:val="bottom"/>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FOMENTO AL DEPORTE NO FEDERADO Y A LA RECREACIÓN</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291.9</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171.2</w:t>
            </w:r>
          </w:p>
        </w:tc>
        <w:tc>
          <w:tcPr>
            <w:tcW w:w="850"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120.7</w:t>
            </w:r>
          </w:p>
        </w:tc>
        <w:tc>
          <w:tcPr>
            <w:tcW w:w="851" w:type="dxa"/>
            <w:tcBorders>
              <w:top w:val="nil"/>
              <w:left w:val="nil"/>
              <w:bottom w:val="nil"/>
              <w:right w:val="single" w:sz="8"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58.7%</w:t>
            </w:r>
          </w:p>
        </w:tc>
      </w:tr>
      <w:tr w:rsidR="00625719" w:rsidRPr="00481957" w:rsidTr="005E400E">
        <w:trPr>
          <w:trHeight w:val="284"/>
        </w:trPr>
        <w:tc>
          <w:tcPr>
            <w:tcW w:w="5103" w:type="dxa"/>
            <w:tcBorders>
              <w:top w:val="nil"/>
              <w:left w:val="single" w:sz="8" w:space="0" w:color="auto"/>
              <w:bottom w:val="nil"/>
              <w:right w:val="single" w:sz="4" w:space="0" w:color="auto"/>
            </w:tcBorders>
            <w:shd w:val="clear" w:color="FFFFFF" w:fill="FFFFFF"/>
            <w:vAlign w:val="bottom"/>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RESTAURACIÓN, PRESERVACIÓN Y PROTECCIÓN DEL PATRIMONIO CULTURAL Y NATURAL</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154.3</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144.7</w:t>
            </w:r>
          </w:p>
        </w:tc>
        <w:tc>
          <w:tcPr>
            <w:tcW w:w="850"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9.5</w:t>
            </w:r>
          </w:p>
        </w:tc>
        <w:tc>
          <w:tcPr>
            <w:tcW w:w="851" w:type="dxa"/>
            <w:tcBorders>
              <w:top w:val="nil"/>
              <w:left w:val="nil"/>
              <w:bottom w:val="nil"/>
              <w:right w:val="single" w:sz="8"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93.8%</w:t>
            </w:r>
          </w:p>
        </w:tc>
      </w:tr>
      <w:tr w:rsidR="00625719" w:rsidRPr="00481957" w:rsidTr="005E400E">
        <w:trPr>
          <w:trHeight w:val="284"/>
        </w:trPr>
        <w:tc>
          <w:tcPr>
            <w:tcW w:w="5103" w:type="dxa"/>
            <w:tcBorders>
              <w:top w:val="nil"/>
              <w:left w:val="single" w:sz="8" w:space="0" w:color="auto"/>
              <w:bottom w:val="nil"/>
              <w:right w:val="single" w:sz="4" w:space="0" w:color="auto"/>
            </w:tcBorders>
            <w:shd w:val="clear" w:color="FFFFFF" w:fill="FFFFFF"/>
            <w:noWrap/>
            <w:vAlign w:val="bottom"/>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FORMACIÓN, FOMENTO Y DIFUSIÓN DE LAS ARTES</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107.0</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97.8</w:t>
            </w:r>
          </w:p>
        </w:tc>
        <w:tc>
          <w:tcPr>
            <w:tcW w:w="850"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9.2</w:t>
            </w:r>
          </w:p>
        </w:tc>
        <w:tc>
          <w:tcPr>
            <w:tcW w:w="851" w:type="dxa"/>
            <w:tcBorders>
              <w:top w:val="nil"/>
              <w:left w:val="nil"/>
              <w:bottom w:val="nil"/>
              <w:right w:val="single" w:sz="8"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91.4%</w:t>
            </w:r>
          </w:p>
        </w:tc>
      </w:tr>
      <w:tr w:rsidR="00625719" w:rsidRPr="00481957" w:rsidTr="005E400E">
        <w:trPr>
          <w:trHeight w:val="284"/>
        </w:trPr>
        <w:tc>
          <w:tcPr>
            <w:tcW w:w="5103" w:type="dxa"/>
            <w:tcBorders>
              <w:top w:val="nil"/>
              <w:left w:val="single" w:sz="8" w:space="0" w:color="auto"/>
              <w:bottom w:val="nil"/>
              <w:right w:val="single" w:sz="4" w:space="0" w:color="auto"/>
            </w:tcBorders>
            <w:shd w:val="clear" w:color="FFFFFF" w:fill="FFFFFF"/>
            <w:noWrap/>
            <w:vAlign w:val="bottom"/>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ADMINISTRACIÓN INSTITUCIONAL</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25.6</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24.3</w:t>
            </w:r>
          </w:p>
        </w:tc>
        <w:tc>
          <w:tcPr>
            <w:tcW w:w="850"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1.3</w:t>
            </w:r>
          </w:p>
        </w:tc>
        <w:tc>
          <w:tcPr>
            <w:tcW w:w="851" w:type="dxa"/>
            <w:tcBorders>
              <w:top w:val="nil"/>
              <w:left w:val="nil"/>
              <w:bottom w:val="nil"/>
              <w:right w:val="single" w:sz="8"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95.0%</w:t>
            </w:r>
          </w:p>
        </w:tc>
      </w:tr>
      <w:tr w:rsidR="00625719" w:rsidRPr="00481957" w:rsidTr="005E400E">
        <w:trPr>
          <w:trHeight w:val="284"/>
        </w:trPr>
        <w:tc>
          <w:tcPr>
            <w:tcW w:w="5103" w:type="dxa"/>
            <w:tcBorders>
              <w:top w:val="nil"/>
              <w:left w:val="single" w:sz="8" w:space="0" w:color="auto"/>
              <w:bottom w:val="nil"/>
              <w:right w:val="single" w:sz="4" w:space="0" w:color="auto"/>
            </w:tcBorders>
            <w:shd w:val="clear" w:color="FFFFFF" w:fill="FFFFFF"/>
            <w:noWrap/>
            <w:vAlign w:val="bottom"/>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PARTIDAS NO ASIGNABLES A PROGRAMAS</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23.7</w:t>
            </w:r>
          </w:p>
        </w:tc>
        <w:tc>
          <w:tcPr>
            <w:tcW w:w="1276"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21.0</w:t>
            </w:r>
          </w:p>
        </w:tc>
        <w:tc>
          <w:tcPr>
            <w:tcW w:w="850" w:type="dxa"/>
            <w:tcBorders>
              <w:top w:val="nil"/>
              <w:left w:val="nil"/>
              <w:bottom w:val="nil"/>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2.7</w:t>
            </w:r>
          </w:p>
        </w:tc>
        <w:tc>
          <w:tcPr>
            <w:tcW w:w="851" w:type="dxa"/>
            <w:tcBorders>
              <w:top w:val="nil"/>
              <w:left w:val="nil"/>
              <w:bottom w:val="nil"/>
              <w:right w:val="single" w:sz="8"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88.8%</w:t>
            </w:r>
          </w:p>
        </w:tc>
      </w:tr>
      <w:tr w:rsidR="00625719" w:rsidRPr="00481957" w:rsidTr="005E400E">
        <w:trPr>
          <w:trHeight w:val="284"/>
        </w:trPr>
        <w:tc>
          <w:tcPr>
            <w:tcW w:w="5103" w:type="dxa"/>
            <w:tcBorders>
              <w:top w:val="nil"/>
              <w:left w:val="single" w:sz="8" w:space="0" w:color="auto"/>
              <w:bottom w:val="single" w:sz="8" w:space="0" w:color="auto"/>
              <w:right w:val="single" w:sz="4" w:space="0" w:color="auto"/>
            </w:tcBorders>
            <w:shd w:val="clear" w:color="FFFFFF" w:fill="FFFFFF"/>
            <w:noWrap/>
            <w:vAlign w:val="bottom"/>
            <w:hideMark/>
          </w:tcPr>
          <w:p w:rsidR="00625719" w:rsidRPr="00481957" w:rsidRDefault="00625719" w:rsidP="00F161D7">
            <w:pPr>
              <w:ind w:firstLineChars="200" w:firstLine="280"/>
              <w:rPr>
                <w:color w:val="333333"/>
                <w:sz w:val="14"/>
                <w:szCs w:val="20"/>
                <w:lang w:val="es-GT" w:eastAsia="es-GT"/>
              </w:rPr>
            </w:pPr>
            <w:r w:rsidRPr="00481957">
              <w:rPr>
                <w:color w:val="333333"/>
                <w:sz w:val="14"/>
                <w:szCs w:val="20"/>
                <w:lang w:val="es-GT" w:eastAsia="es-GT"/>
              </w:rPr>
              <w:t>GESTIÓN DEL DESARROLLO CULTURAL</w:t>
            </w:r>
          </w:p>
        </w:tc>
        <w:tc>
          <w:tcPr>
            <w:tcW w:w="1276"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20.5</w:t>
            </w:r>
          </w:p>
        </w:tc>
        <w:tc>
          <w:tcPr>
            <w:tcW w:w="1276" w:type="dxa"/>
            <w:tcBorders>
              <w:top w:val="nil"/>
              <w:left w:val="nil"/>
              <w:bottom w:val="single" w:sz="8" w:space="0" w:color="auto"/>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20.0</w:t>
            </w:r>
          </w:p>
        </w:tc>
        <w:tc>
          <w:tcPr>
            <w:tcW w:w="850"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0.6</w:t>
            </w:r>
          </w:p>
        </w:tc>
        <w:tc>
          <w:tcPr>
            <w:tcW w:w="851" w:type="dxa"/>
            <w:tcBorders>
              <w:top w:val="nil"/>
              <w:left w:val="single" w:sz="4" w:space="0" w:color="auto"/>
              <w:bottom w:val="single" w:sz="8" w:space="0" w:color="auto"/>
              <w:right w:val="single" w:sz="8" w:space="0" w:color="auto"/>
            </w:tcBorders>
            <w:shd w:val="clear" w:color="FFFFFF" w:fill="FFFFFF"/>
            <w:noWrap/>
            <w:vAlign w:val="bottom"/>
            <w:hideMark/>
          </w:tcPr>
          <w:p w:rsidR="00625719" w:rsidRPr="00481957" w:rsidRDefault="00625719" w:rsidP="00F161D7">
            <w:pPr>
              <w:jc w:val="right"/>
              <w:rPr>
                <w:color w:val="333333"/>
                <w:sz w:val="14"/>
                <w:szCs w:val="20"/>
                <w:lang w:val="es-GT" w:eastAsia="es-GT"/>
              </w:rPr>
            </w:pPr>
            <w:r w:rsidRPr="00481957">
              <w:rPr>
                <w:color w:val="333333"/>
                <w:sz w:val="14"/>
                <w:szCs w:val="20"/>
                <w:lang w:val="es-GT" w:eastAsia="es-GT"/>
              </w:rPr>
              <w:t>97.2%</w:t>
            </w: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Default="00625719" w:rsidP="00625719">
      <w:pPr>
        <w:jc w:val="both"/>
      </w:pPr>
    </w:p>
    <w:p w:rsidR="005E400E" w:rsidRPr="00D108FD" w:rsidRDefault="005E400E" w:rsidP="00625719">
      <w:pPr>
        <w:jc w:val="both"/>
      </w:pPr>
    </w:p>
    <w:p w:rsidR="00625719" w:rsidRDefault="00625719" w:rsidP="00625719">
      <w:pPr>
        <w:jc w:val="both"/>
        <w:rPr>
          <w:b/>
        </w:rPr>
      </w:pPr>
      <w:r w:rsidRPr="00D108FD">
        <w:rPr>
          <w:b/>
        </w:rPr>
        <w:t>Ministerio de Ambiente y Recursos Naturales</w:t>
      </w:r>
      <w:r>
        <w:rPr>
          <w:b/>
        </w:rPr>
        <w:t>:</w:t>
      </w:r>
    </w:p>
    <w:p w:rsidR="00625719" w:rsidRPr="00D108FD" w:rsidRDefault="00625719" w:rsidP="00625719">
      <w:pPr>
        <w:jc w:val="both"/>
        <w:rPr>
          <w:b/>
        </w:rPr>
      </w:pPr>
    </w:p>
    <w:p w:rsidR="00625719" w:rsidRDefault="00625719" w:rsidP="00625719">
      <w:pPr>
        <w:jc w:val="both"/>
      </w:pPr>
      <w:r w:rsidRPr="00D108FD">
        <w:t xml:space="preserve">El </w:t>
      </w:r>
      <w:r w:rsidRPr="00B21910">
        <w:t>Ministerio de Ambiente y Recursos Naturales</w:t>
      </w:r>
      <w:r w:rsidRPr="00D108FD">
        <w:t xml:space="preserve"> tuvo un presupuesto </w:t>
      </w:r>
      <w:r>
        <w:t xml:space="preserve">aprobado </w:t>
      </w:r>
      <w:r w:rsidRPr="00D108FD">
        <w:t xml:space="preserve">de </w:t>
      </w:r>
      <w:r>
        <w:t>Q</w:t>
      </w:r>
      <w:r w:rsidR="00DF7E6B">
        <w:t>.</w:t>
      </w:r>
      <w:r w:rsidRPr="00D108FD">
        <w:t>1</w:t>
      </w:r>
      <w:r>
        <w:t>27.3</w:t>
      </w:r>
      <w:r w:rsidRPr="00D108FD">
        <w:t xml:space="preserve"> millones, y una ejecución presupuestaria de </w:t>
      </w:r>
      <w:r>
        <w:t>Q</w:t>
      </w:r>
      <w:r w:rsidR="00DF7E6B">
        <w:t>.</w:t>
      </w:r>
      <w:r w:rsidRPr="00D108FD">
        <w:t>1</w:t>
      </w:r>
      <w:r>
        <w:t>70.3</w:t>
      </w:r>
      <w:r w:rsidRPr="00D108FD">
        <w:t xml:space="preserve"> millones equivalente al </w:t>
      </w:r>
      <w:r>
        <w:t>133.8</w:t>
      </w:r>
      <w:r w:rsidRPr="00D108FD">
        <w:t>%</w:t>
      </w:r>
      <w:r>
        <w:t>.</w:t>
      </w:r>
    </w:p>
    <w:p w:rsidR="00625719" w:rsidRPr="00D108FD" w:rsidRDefault="00625719" w:rsidP="00625719">
      <w:pPr>
        <w:jc w:val="both"/>
      </w:pPr>
    </w:p>
    <w:p w:rsidR="00625719" w:rsidRDefault="00625719" w:rsidP="00625719">
      <w:pPr>
        <w:jc w:val="both"/>
      </w:pPr>
      <w:r w:rsidRPr="00D108FD">
        <w:t xml:space="preserve">Este </w:t>
      </w:r>
      <w:r>
        <w:t>M</w:t>
      </w:r>
      <w:r w:rsidRPr="00D108FD">
        <w:t>inisterio operó durante 201</w:t>
      </w:r>
      <w:r>
        <w:t>9</w:t>
      </w:r>
      <w:r w:rsidRPr="00D108FD">
        <w:t xml:space="preserve"> con dos programas principales de acuerdo al monto observado en su ejecución presupuestaria, dentro de esos el primero es “</w:t>
      </w:r>
      <w:r>
        <w:t>Gestión Ambiental con Énfasis en e</w:t>
      </w:r>
      <w:r w:rsidRPr="00D108FD">
        <w:t xml:space="preserve">l Cambio Climático” con un presupuesto </w:t>
      </w:r>
      <w:r>
        <w:t xml:space="preserve">aprobado </w:t>
      </w:r>
      <w:r w:rsidRPr="00D108FD">
        <w:t xml:space="preserve">de </w:t>
      </w:r>
      <w:r>
        <w:t>Q</w:t>
      </w:r>
      <w:r w:rsidR="00DF7E6B">
        <w:t>.</w:t>
      </w:r>
      <w:r>
        <w:t>45.8</w:t>
      </w:r>
      <w:r w:rsidRPr="00D108FD">
        <w:t xml:space="preserve"> millones y una ejecución presupuestaria de </w:t>
      </w:r>
      <w:r>
        <w:t>Q</w:t>
      </w:r>
      <w:r w:rsidR="00DF7E6B">
        <w:t>.</w:t>
      </w:r>
      <w:r>
        <w:t>103.2</w:t>
      </w:r>
      <w:r w:rsidRPr="00D108FD">
        <w:t xml:space="preserve"> millones equivalente al </w:t>
      </w:r>
      <w:r>
        <w:t>225.2</w:t>
      </w:r>
      <w:r w:rsidRPr="00D108FD">
        <w:t>%</w:t>
      </w:r>
      <w:r>
        <w:t>.</w:t>
      </w:r>
    </w:p>
    <w:p w:rsidR="00625719" w:rsidRPr="00D108FD" w:rsidRDefault="00625719" w:rsidP="00625719">
      <w:pPr>
        <w:jc w:val="both"/>
      </w:pPr>
    </w:p>
    <w:p w:rsidR="00625719" w:rsidRDefault="00625719" w:rsidP="00625719">
      <w:pPr>
        <w:jc w:val="both"/>
      </w:pPr>
      <w:r w:rsidRPr="00D108FD">
        <w:t>El segundo fue el de “Administración Institucional” con un presupuesto</w:t>
      </w:r>
      <w:r>
        <w:t xml:space="preserve"> aprobado</w:t>
      </w:r>
      <w:r w:rsidRPr="00D108FD">
        <w:t xml:space="preserve"> </w:t>
      </w:r>
      <w:r>
        <w:t>de Q</w:t>
      </w:r>
      <w:r w:rsidR="00DF7E6B">
        <w:t>.</w:t>
      </w:r>
      <w:r>
        <w:t>49.9</w:t>
      </w:r>
      <w:r w:rsidRPr="00D108FD">
        <w:t xml:space="preserve"> millones y una ejecución presupuestaria de </w:t>
      </w:r>
      <w:r>
        <w:t>Q</w:t>
      </w:r>
      <w:r w:rsidR="00DF7E6B">
        <w:t>.</w:t>
      </w:r>
      <w:r w:rsidRPr="00D108FD">
        <w:t>5</w:t>
      </w:r>
      <w:r>
        <w:t>1.3</w:t>
      </w:r>
      <w:r w:rsidRPr="00D108FD">
        <w:t xml:space="preserve"> millones equivalente al </w:t>
      </w:r>
      <w:r>
        <w:t>102.8</w:t>
      </w:r>
      <w:r w:rsidRPr="00D108FD">
        <w:t>%</w:t>
      </w:r>
      <w:r>
        <w:t>.</w:t>
      </w:r>
    </w:p>
    <w:p w:rsidR="00625719" w:rsidRPr="00D108FD" w:rsidRDefault="00625719" w:rsidP="00625719">
      <w:pPr>
        <w:jc w:val="both"/>
      </w:pPr>
    </w:p>
    <w:p w:rsidR="00625719" w:rsidRDefault="00625719" w:rsidP="00625719">
      <w:pPr>
        <w:jc w:val="both"/>
      </w:pPr>
      <w:r>
        <w:t>Los 4 programas restantes tuvieron una ejecución al cierre preliminar de 2019 por debajo de Q</w:t>
      </w:r>
      <w:r w:rsidR="00DF7E6B">
        <w:t>.</w:t>
      </w:r>
      <w:r>
        <w:t>8.5 millones, ejecutados por e</w:t>
      </w:r>
      <w:r w:rsidRPr="00D108FD">
        <w:t>l programa “Conservación y Protección de los Recursos Naturales y Ambiente”.</w:t>
      </w: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Programa!F184C2:F191C6" \a \f 4 \h  \* MERGEFORMAT </w:instrText>
      </w:r>
      <w:r>
        <w:rPr>
          <w:noProof/>
          <w:lang w:val="es-GT" w:eastAsia="es-GT"/>
        </w:rPr>
        <w:fldChar w:fldCharType="separate"/>
      </w:r>
    </w:p>
    <w:tbl>
      <w:tblPr>
        <w:tblW w:w="8908" w:type="dxa"/>
        <w:tblInd w:w="70" w:type="dxa"/>
        <w:tblCellMar>
          <w:left w:w="70" w:type="dxa"/>
          <w:right w:w="70" w:type="dxa"/>
        </w:tblCellMar>
        <w:tblLook w:val="04A0" w:firstRow="1" w:lastRow="0" w:firstColumn="1" w:lastColumn="0" w:noHBand="0" w:noVBand="1"/>
      </w:tblPr>
      <w:tblGrid>
        <w:gridCol w:w="5245"/>
        <w:gridCol w:w="1025"/>
        <w:gridCol w:w="965"/>
        <w:gridCol w:w="817"/>
        <w:gridCol w:w="859"/>
      </w:tblGrid>
      <w:tr w:rsidR="00625719" w:rsidRPr="003650EB" w:rsidTr="00F161D7">
        <w:trPr>
          <w:trHeight w:val="284"/>
        </w:trPr>
        <w:tc>
          <w:tcPr>
            <w:tcW w:w="5245"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137A2B" w:rsidRDefault="00625719" w:rsidP="00F161D7">
            <w:pPr>
              <w:jc w:val="center"/>
              <w:rPr>
                <w:b/>
                <w:bCs/>
                <w:color w:val="000000"/>
                <w:sz w:val="14"/>
                <w:szCs w:val="20"/>
                <w:lang w:val="es-GT" w:eastAsia="es-GT"/>
              </w:rPr>
            </w:pPr>
            <w:r w:rsidRPr="00137A2B">
              <w:rPr>
                <w:b/>
                <w:bCs/>
                <w:color w:val="000000"/>
                <w:sz w:val="14"/>
                <w:szCs w:val="20"/>
                <w:lang w:val="es-GT" w:eastAsia="es-GT"/>
              </w:rPr>
              <w:lastRenderedPageBreak/>
              <w:t>DESCRIPCION</w:t>
            </w:r>
          </w:p>
        </w:tc>
        <w:tc>
          <w:tcPr>
            <w:tcW w:w="1025" w:type="dxa"/>
            <w:tcBorders>
              <w:top w:val="single" w:sz="8" w:space="0" w:color="auto"/>
              <w:left w:val="nil"/>
              <w:bottom w:val="single" w:sz="4" w:space="0" w:color="auto"/>
              <w:right w:val="single" w:sz="4" w:space="0" w:color="auto"/>
            </w:tcBorders>
            <w:shd w:val="clear" w:color="000000" w:fill="8DB4E2"/>
            <w:noWrap/>
            <w:hideMark/>
          </w:tcPr>
          <w:p w:rsidR="00625719" w:rsidRPr="00137A2B" w:rsidRDefault="00625719" w:rsidP="00F161D7">
            <w:pPr>
              <w:jc w:val="center"/>
              <w:rPr>
                <w:b/>
                <w:bCs/>
                <w:color w:val="000000"/>
                <w:sz w:val="14"/>
                <w:szCs w:val="20"/>
                <w:lang w:val="es-GT" w:eastAsia="es-GT"/>
              </w:rPr>
            </w:pPr>
            <w:r w:rsidRPr="00137A2B">
              <w:rPr>
                <w:b/>
                <w:bCs/>
                <w:color w:val="000000"/>
                <w:sz w:val="14"/>
                <w:szCs w:val="20"/>
                <w:lang w:val="es-GT" w:eastAsia="es-GT"/>
              </w:rPr>
              <w:t>ASIGNADO</w:t>
            </w:r>
          </w:p>
        </w:tc>
        <w:tc>
          <w:tcPr>
            <w:tcW w:w="963" w:type="dxa"/>
            <w:tcBorders>
              <w:top w:val="single" w:sz="8" w:space="0" w:color="auto"/>
              <w:left w:val="nil"/>
              <w:bottom w:val="single" w:sz="4" w:space="0" w:color="auto"/>
              <w:right w:val="single" w:sz="4" w:space="0" w:color="auto"/>
            </w:tcBorders>
            <w:shd w:val="clear" w:color="000000" w:fill="8DB4E2"/>
            <w:noWrap/>
            <w:hideMark/>
          </w:tcPr>
          <w:p w:rsidR="00625719" w:rsidRPr="00137A2B" w:rsidRDefault="00625719" w:rsidP="00F161D7">
            <w:pPr>
              <w:jc w:val="center"/>
              <w:rPr>
                <w:b/>
                <w:bCs/>
                <w:color w:val="000000"/>
                <w:sz w:val="14"/>
                <w:szCs w:val="20"/>
                <w:lang w:val="es-GT" w:eastAsia="es-GT"/>
              </w:rPr>
            </w:pPr>
            <w:r w:rsidRPr="00137A2B">
              <w:rPr>
                <w:b/>
                <w:bCs/>
                <w:color w:val="000000"/>
                <w:sz w:val="14"/>
                <w:szCs w:val="20"/>
                <w:lang w:val="es-GT" w:eastAsia="es-GT"/>
              </w:rPr>
              <w:t>EJECUCIÓN</w:t>
            </w:r>
          </w:p>
        </w:tc>
        <w:tc>
          <w:tcPr>
            <w:tcW w:w="816" w:type="dxa"/>
            <w:tcBorders>
              <w:top w:val="single" w:sz="8" w:space="0" w:color="auto"/>
              <w:left w:val="nil"/>
              <w:bottom w:val="single" w:sz="4" w:space="0" w:color="auto"/>
              <w:right w:val="single" w:sz="4" w:space="0" w:color="auto"/>
            </w:tcBorders>
            <w:shd w:val="clear" w:color="000000" w:fill="8DB4E2"/>
            <w:noWrap/>
            <w:hideMark/>
          </w:tcPr>
          <w:p w:rsidR="00625719" w:rsidRPr="00137A2B" w:rsidRDefault="00625719" w:rsidP="00F161D7">
            <w:pPr>
              <w:jc w:val="center"/>
              <w:rPr>
                <w:b/>
                <w:bCs/>
                <w:color w:val="000000"/>
                <w:sz w:val="14"/>
                <w:szCs w:val="20"/>
                <w:lang w:val="es-GT" w:eastAsia="es-GT"/>
              </w:rPr>
            </w:pPr>
            <w:r w:rsidRPr="00137A2B">
              <w:rPr>
                <w:b/>
                <w:bCs/>
                <w:color w:val="000000"/>
                <w:sz w:val="14"/>
                <w:szCs w:val="20"/>
                <w:lang w:val="es-GT" w:eastAsia="es-GT"/>
              </w:rPr>
              <w:t>Diferencias</w:t>
            </w:r>
          </w:p>
        </w:tc>
        <w:tc>
          <w:tcPr>
            <w:tcW w:w="859" w:type="dxa"/>
            <w:tcBorders>
              <w:top w:val="single" w:sz="8" w:space="0" w:color="auto"/>
              <w:left w:val="nil"/>
              <w:bottom w:val="single" w:sz="4" w:space="0" w:color="auto"/>
              <w:right w:val="single" w:sz="8" w:space="0" w:color="auto"/>
            </w:tcBorders>
            <w:shd w:val="clear" w:color="000000" w:fill="8DB4E2"/>
            <w:noWrap/>
            <w:hideMark/>
          </w:tcPr>
          <w:p w:rsidR="00625719" w:rsidRPr="00137A2B" w:rsidRDefault="00625719" w:rsidP="00F161D7">
            <w:pPr>
              <w:jc w:val="center"/>
              <w:rPr>
                <w:b/>
                <w:bCs/>
                <w:color w:val="000000"/>
                <w:sz w:val="14"/>
                <w:szCs w:val="20"/>
                <w:lang w:val="es-GT" w:eastAsia="es-GT"/>
              </w:rPr>
            </w:pPr>
            <w:r w:rsidRPr="00137A2B">
              <w:rPr>
                <w:b/>
                <w:bCs/>
                <w:color w:val="000000"/>
                <w:sz w:val="14"/>
                <w:szCs w:val="20"/>
                <w:lang w:val="es-GT" w:eastAsia="es-GT"/>
              </w:rPr>
              <w:t>% Ejec</w:t>
            </w:r>
          </w:p>
        </w:tc>
      </w:tr>
      <w:tr w:rsidR="00625719" w:rsidRPr="003650EB" w:rsidTr="00AB2D0A">
        <w:trPr>
          <w:trHeight w:val="223"/>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137A2B" w:rsidRDefault="00625719" w:rsidP="00F161D7">
            <w:pPr>
              <w:rPr>
                <w:b/>
                <w:bCs/>
                <w:color w:val="333333"/>
                <w:sz w:val="14"/>
                <w:szCs w:val="20"/>
                <w:lang w:val="es-GT" w:eastAsia="es-GT"/>
              </w:rPr>
            </w:pPr>
            <w:r w:rsidRPr="00137A2B">
              <w:rPr>
                <w:b/>
                <w:bCs/>
                <w:color w:val="333333"/>
                <w:sz w:val="14"/>
                <w:szCs w:val="20"/>
                <w:lang w:val="es-GT" w:eastAsia="es-GT"/>
              </w:rPr>
              <w:t>MINISTERIO DE AMBIENTE Y RECURSOS NATURALES</w:t>
            </w:r>
          </w:p>
        </w:tc>
        <w:tc>
          <w:tcPr>
            <w:tcW w:w="1025"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b/>
                <w:bCs/>
                <w:color w:val="333333"/>
                <w:sz w:val="14"/>
                <w:szCs w:val="20"/>
                <w:lang w:val="es-GT" w:eastAsia="es-GT"/>
              </w:rPr>
            </w:pPr>
            <w:r w:rsidRPr="00137A2B">
              <w:rPr>
                <w:b/>
                <w:bCs/>
                <w:color w:val="333333"/>
                <w:sz w:val="14"/>
                <w:szCs w:val="20"/>
                <w:lang w:val="es-GT" w:eastAsia="es-GT"/>
              </w:rPr>
              <w:t>127.3</w:t>
            </w:r>
          </w:p>
        </w:tc>
        <w:tc>
          <w:tcPr>
            <w:tcW w:w="963"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b/>
                <w:bCs/>
                <w:color w:val="333333"/>
                <w:sz w:val="14"/>
                <w:szCs w:val="20"/>
                <w:lang w:val="es-GT" w:eastAsia="es-GT"/>
              </w:rPr>
            </w:pPr>
            <w:r w:rsidRPr="00137A2B">
              <w:rPr>
                <w:b/>
                <w:bCs/>
                <w:color w:val="333333"/>
                <w:sz w:val="14"/>
                <w:szCs w:val="20"/>
                <w:lang w:val="es-GT" w:eastAsia="es-GT"/>
              </w:rPr>
              <w:t>170.3</w:t>
            </w:r>
          </w:p>
        </w:tc>
        <w:tc>
          <w:tcPr>
            <w:tcW w:w="816"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b/>
                <w:bCs/>
                <w:color w:val="333333"/>
                <w:sz w:val="14"/>
                <w:szCs w:val="20"/>
                <w:lang w:val="es-GT" w:eastAsia="es-GT"/>
              </w:rPr>
            </w:pPr>
            <w:r w:rsidRPr="00137A2B">
              <w:rPr>
                <w:b/>
                <w:bCs/>
                <w:color w:val="333333"/>
                <w:sz w:val="14"/>
                <w:szCs w:val="20"/>
                <w:lang w:val="es-GT" w:eastAsia="es-GT"/>
              </w:rPr>
              <w:t>-43.0</w:t>
            </w:r>
          </w:p>
        </w:tc>
        <w:tc>
          <w:tcPr>
            <w:tcW w:w="859" w:type="dxa"/>
            <w:tcBorders>
              <w:top w:val="nil"/>
              <w:left w:val="nil"/>
              <w:bottom w:val="nil"/>
              <w:right w:val="single" w:sz="8" w:space="0" w:color="auto"/>
            </w:tcBorders>
            <w:shd w:val="clear" w:color="FFFFFF" w:fill="FFFFFF"/>
            <w:noWrap/>
            <w:vAlign w:val="center"/>
            <w:hideMark/>
          </w:tcPr>
          <w:p w:rsidR="00625719" w:rsidRPr="00137A2B" w:rsidRDefault="00625719" w:rsidP="00F161D7">
            <w:pPr>
              <w:jc w:val="right"/>
              <w:rPr>
                <w:b/>
                <w:bCs/>
                <w:color w:val="333333"/>
                <w:sz w:val="14"/>
                <w:szCs w:val="20"/>
                <w:lang w:val="es-GT" w:eastAsia="es-GT"/>
              </w:rPr>
            </w:pPr>
            <w:r w:rsidRPr="00137A2B">
              <w:rPr>
                <w:b/>
                <w:bCs/>
                <w:color w:val="333333"/>
                <w:sz w:val="14"/>
                <w:szCs w:val="20"/>
                <w:lang w:val="es-GT" w:eastAsia="es-GT"/>
              </w:rPr>
              <w:t>133.8%</w:t>
            </w:r>
          </w:p>
        </w:tc>
      </w:tr>
      <w:tr w:rsidR="00625719" w:rsidRPr="003650EB" w:rsidTr="00F161D7">
        <w:trPr>
          <w:trHeight w:val="284"/>
        </w:trPr>
        <w:tc>
          <w:tcPr>
            <w:tcW w:w="5245" w:type="dxa"/>
            <w:tcBorders>
              <w:top w:val="nil"/>
              <w:left w:val="single" w:sz="8" w:space="0" w:color="auto"/>
              <w:bottom w:val="nil"/>
              <w:right w:val="single" w:sz="4" w:space="0" w:color="auto"/>
            </w:tcBorders>
            <w:shd w:val="clear" w:color="FFFFFF" w:fill="FFFFFF"/>
            <w:vAlign w:val="bottom"/>
            <w:hideMark/>
          </w:tcPr>
          <w:p w:rsidR="00625719" w:rsidRPr="00137A2B" w:rsidRDefault="00625719" w:rsidP="00F161D7">
            <w:pPr>
              <w:ind w:firstLineChars="200" w:firstLine="280"/>
              <w:rPr>
                <w:color w:val="333333"/>
                <w:sz w:val="14"/>
                <w:szCs w:val="20"/>
                <w:lang w:val="es-GT" w:eastAsia="es-GT"/>
              </w:rPr>
            </w:pPr>
            <w:r w:rsidRPr="00137A2B">
              <w:rPr>
                <w:color w:val="333333"/>
                <w:sz w:val="14"/>
                <w:szCs w:val="20"/>
                <w:lang w:val="es-GT" w:eastAsia="es-GT"/>
              </w:rPr>
              <w:t>GESTIÓN AMBIENTAL CON ÉNFASIS EN EL CAMBIO CLIMÁTICO</w:t>
            </w:r>
          </w:p>
        </w:tc>
        <w:tc>
          <w:tcPr>
            <w:tcW w:w="1025"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45.8</w:t>
            </w:r>
          </w:p>
        </w:tc>
        <w:tc>
          <w:tcPr>
            <w:tcW w:w="963"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103.2</w:t>
            </w:r>
          </w:p>
        </w:tc>
        <w:tc>
          <w:tcPr>
            <w:tcW w:w="816"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-57.4</w:t>
            </w:r>
          </w:p>
        </w:tc>
        <w:tc>
          <w:tcPr>
            <w:tcW w:w="859" w:type="dxa"/>
            <w:tcBorders>
              <w:top w:val="nil"/>
              <w:left w:val="nil"/>
              <w:bottom w:val="nil"/>
              <w:right w:val="single" w:sz="8"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225.2%</w:t>
            </w:r>
          </w:p>
        </w:tc>
      </w:tr>
      <w:tr w:rsidR="00625719" w:rsidRPr="003650EB" w:rsidTr="00F161D7">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137A2B" w:rsidRDefault="00625719" w:rsidP="00F161D7">
            <w:pPr>
              <w:ind w:firstLineChars="200" w:firstLine="280"/>
              <w:rPr>
                <w:color w:val="333333"/>
                <w:sz w:val="14"/>
                <w:szCs w:val="20"/>
                <w:lang w:val="es-GT" w:eastAsia="es-GT"/>
              </w:rPr>
            </w:pPr>
            <w:r w:rsidRPr="00137A2B">
              <w:rPr>
                <w:color w:val="333333"/>
                <w:sz w:val="14"/>
                <w:szCs w:val="20"/>
                <w:lang w:val="es-GT" w:eastAsia="es-GT"/>
              </w:rPr>
              <w:t>ADMINISTRACIÓN INSTITUCIONAL</w:t>
            </w:r>
          </w:p>
        </w:tc>
        <w:tc>
          <w:tcPr>
            <w:tcW w:w="1025"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49.9</w:t>
            </w:r>
          </w:p>
        </w:tc>
        <w:tc>
          <w:tcPr>
            <w:tcW w:w="963"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51.3</w:t>
            </w:r>
          </w:p>
        </w:tc>
        <w:tc>
          <w:tcPr>
            <w:tcW w:w="816"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-1.4</w:t>
            </w:r>
          </w:p>
        </w:tc>
        <w:tc>
          <w:tcPr>
            <w:tcW w:w="859" w:type="dxa"/>
            <w:tcBorders>
              <w:top w:val="nil"/>
              <w:left w:val="nil"/>
              <w:bottom w:val="nil"/>
              <w:right w:val="single" w:sz="8"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102.8%</w:t>
            </w:r>
          </w:p>
        </w:tc>
      </w:tr>
      <w:tr w:rsidR="00625719" w:rsidRPr="003650EB" w:rsidTr="00F161D7">
        <w:trPr>
          <w:trHeight w:val="284"/>
        </w:trPr>
        <w:tc>
          <w:tcPr>
            <w:tcW w:w="5245" w:type="dxa"/>
            <w:tcBorders>
              <w:top w:val="nil"/>
              <w:left w:val="single" w:sz="8" w:space="0" w:color="auto"/>
              <w:bottom w:val="nil"/>
              <w:right w:val="single" w:sz="4" w:space="0" w:color="auto"/>
            </w:tcBorders>
            <w:shd w:val="clear" w:color="FFFFFF" w:fill="FFFFFF"/>
            <w:vAlign w:val="bottom"/>
            <w:hideMark/>
          </w:tcPr>
          <w:p w:rsidR="00625719" w:rsidRPr="00137A2B" w:rsidRDefault="00625719" w:rsidP="00F161D7">
            <w:pPr>
              <w:ind w:firstLineChars="200" w:firstLine="280"/>
              <w:rPr>
                <w:color w:val="333333"/>
                <w:sz w:val="14"/>
                <w:szCs w:val="20"/>
                <w:lang w:val="es-GT" w:eastAsia="es-GT"/>
              </w:rPr>
            </w:pPr>
            <w:r w:rsidRPr="00137A2B">
              <w:rPr>
                <w:color w:val="333333"/>
                <w:sz w:val="14"/>
                <w:szCs w:val="20"/>
                <w:lang w:val="es-GT" w:eastAsia="es-GT"/>
              </w:rPr>
              <w:t>CONSERVACIÓN Y PROTECCIÓN DE LOS RECURSOS NATURALES Y AMBIENTE</w:t>
            </w:r>
          </w:p>
        </w:tc>
        <w:tc>
          <w:tcPr>
            <w:tcW w:w="1025"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19.1</w:t>
            </w:r>
          </w:p>
        </w:tc>
        <w:tc>
          <w:tcPr>
            <w:tcW w:w="963"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8.5</w:t>
            </w:r>
          </w:p>
        </w:tc>
        <w:tc>
          <w:tcPr>
            <w:tcW w:w="816"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10.6</w:t>
            </w:r>
          </w:p>
        </w:tc>
        <w:tc>
          <w:tcPr>
            <w:tcW w:w="859" w:type="dxa"/>
            <w:tcBorders>
              <w:top w:val="nil"/>
              <w:left w:val="nil"/>
              <w:bottom w:val="nil"/>
              <w:right w:val="single" w:sz="8"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44.5%</w:t>
            </w:r>
          </w:p>
        </w:tc>
      </w:tr>
      <w:tr w:rsidR="00625719" w:rsidRPr="003650EB" w:rsidTr="00F161D7">
        <w:trPr>
          <w:trHeight w:val="284"/>
        </w:trPr>
        <w:tc>
          <w:tcPr>
            <w:tcW w:w="5245" w:type="dxa"/>
            <w:tcBorders>
              <w:top w:val="nil"/>
              <w:left w:val="single" w:sz="8" w:space="0" w:color="auto"/>
              <w:bottom w:val="nil"/>
              <w:right w:val="single" w:sz="4" w:space="0" w:color="auto"/>
            </w:tcBorders>
            <w:shd w:val="clear" w:color="FFFFFF" w:fill="FFFFFF"/>
            <w:vAlign w:val="bottom"/>
            <w:hideMark/>
          </w:tcPr>
          <w:p w:rsidR="00625719" w:rsidRPr="00137A2B" w:rsidRDefault="00625719" w:rsidP="00F161D7">
            <w:pPr>
              <w:ind w:firstLineChars="200" w:firstLine="280"/>
              <w:rPr>
                <w:color w:val="333333"/>
                <w:sz w:val="14"/>
                <w:szCs w:val="20"/>
                <w:lang w:val="es-GT" w:eastAsia="es-GT"/>
              </w:rPr>
            </w:pPr>
            <w:r w:rsidRPr="00137A2B">
              <w:rPr>
                <w:color w:val="333333"/>
                <w:sz w:val="14"/>
                <w:szCs w:val="20"/>
                <w:lang w:val="es-GT" w:eastAsia="es-GT"/>
              </w:rPr>
              <w:t>SENSIBILIZACIÓN SOCIO AMBIENTAL Y PARTICIPACIÓN CIUDADANA</w:t>
            </w:r>
          </w:p>
        </w:tc>
        <w:tc>
          <w:tcPr>
            <w:tcW w:w="1025"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11.6</w:t>
            </w:r>
          </w:p>
        </w:tc>
        <w:tc>
          <w:tcPr>
            <w:tcW w:w="963"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6.9</w:t>
            </w:r>
          </w:p>
        </w:tc>
        <w:tc>
          <w:tcPr>
            <w:tcW w:w="816"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4.7</w:t>
            </w:r>
          </w:p>
        </w:tc>
        <w:tc>
          <w:tcPr>
            <w:tcW w:w="859" w:type="dxa"/>
            <w:tcBorders>
              <w:top w:val="nil"/>
              <w:left w:val="nil"/>
              <w:bottom w:val="nil"/>
              <w:right w:val="single" w:sz="8"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59.6%</w:t>
            </w:r>
          </w:p>
        </w:tc>
      </w:tr>
      <w:tr w:rsidR="00625719" w:rsidRPr="003650EB" w:rsidTr="00F161D7">
        <w:trPr>
          <w:trHeight w:val="284"/>
        </w:trPr>
        <w:tc>
          <w:tcPr>
            <w:tcW w:w="5245" w:type="dxa"/>
            <w:tcBorders>
              <w:top w:val="nil"/>
              <w:left w:val="single" w:sz="8" w:space="0" w:color="auto"/>
              <w:bottom w:val="nil"/>
              <w:right w:val="single" w:sz="4" w:space="0" w:color="auto"/>
            </w:tcBorders>
            <w:shd w:val="clear" w:color="FFFFFF" w:fill="FFFFFF"/>
            <w:noWrap/>
            <w:vAlign w:val="bottom"/>
            <w:hideMark/>
          </w:tcPr>
          <w:p w:rsidR="00625719" w:rsidRPr="00137A2B" w:rsidRDefault="00625719" w:rsidP="00F161D7">
            <w:pPr>
              <w:ind w:firstLineChars="200" w:firstLine="280"/>
              <w:rPr>
                <w:color w:val="333333"/>
                <w:sz w:val="14"/>
                <w:szCs w:val="20"/>
                <w:lang w:val="es-GT" w:eastAsia="es-GT"/>
              </w:rPr>
            </w:pPr>
            <w:r w:rsidRPr="00137A2B">
              <w:rPr>
                <w:color w:val="333333"/>
                <w:sz w:val="14"/>
                <w:szCs w:val="20"/>
                <w:lang w:val="es-GT" w:eastAsia="es-GT"/>
              </w:rPr>
              <w:t>PARTIDAS NO ASIGNABLES A PROGRAMAS</w:t>
            </w:r>
          </w:p>
        </w:tc>
        <w:tc>
          <w:tcPr>
            <w:tcW w:w="1025"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0.8</w:t>
            </w:r>
          </w:p>
        </w:tc>
        <w:tc>
          <w:tcPr>
            <w:tcW w:w="963"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0.3</w:t>
            </w:r>
          </w:p>
        </w:tc>
        <w:tc>
          <w:tcPr>
            <w:tcW w:w="816" w:type="dxa"/>
            <w:tcBorders>
              <w:top w:val="nil"/>
              <w:left w:val="nil"/>
              <w:bottom w:val="nil"/>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0.5</w:t>
            </w:r>
          </w:p>
        </w:tc>
        <w:tc>
          <w:tcPr>
            <w:tcW w:w="859" w:type="dxa"/>
            <w:tcBorders>
              <w:top w:val="nil"/>
              <w:left w:val="nil"/>
              <w:bottom w:val="nil"/>
              <w:right w:val="single" w:sz="8"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43.0%</w:t>
            </w:r>
          </w:p>
        </w:tc>
      </w:tr>
      <w:tr w:rsidR="00625719" w:rsidRPr="003650EB" w:rsidTr="0034463A">
        <w:trPr>
          <w:trHeight w:val="284"/>
        </w:trPr>
        <w:tc>
          <w:tcPr>
            <w:tcW w:w="5245" w:type="dxa"/>
            <w:tcBorders>
              <w:top w:val="nil"/>
              <w:left w:val="single" w:sz="8" w:space="0" w:color="auto"/>
              <w:bottom w:val="single" w:sz="8" w:space="0" w:color="auto"/>
              <w:right w:val="single" w:sz="4" w:space="0" w:color="auto"/>
            </w:tcBorders>
            <w:shd w:val="clear" w:color="FFFFFF" w:fill="FFFFFF"/>
            <w:noWrap/>
            <w:vAlign w:val="bottom"/>
            <w:hideMark/>
          </w:tcPr>
          <w:p w:rsidR="00625719" w:rsidRPr="00137A2B" w:rsidRDefault="00625719" w:rsidP="00F161D7">
            <w:pPr>
              <w:ind w:firstLineChars="200" w:firstLine="280"/>
              <w:rPr>
                <w:color w:val="333333"/>
                <w:sz w:val="14"/>
                <w:szCs w:val="20"/>
                <w:lang w:val="es-GT" w:eastAsia="es-GT"/>
              </w:rPr>
            </w:pPr>
            <w:r w:rsidRPr="00137A2B">
              <w:rPr>
                <w:color w:val="333333"/>
                <w:sz w:val="14"/>
                <w:szCs w:val="20"/>
                <w:lang w:val="es-GT" w:eastAsia="es-GT"/>
              </w:rPr>
              <w:t>DESARROLLO AMBIENTAL DE PETÉN</w:t>
            </w:r>
          </w:p>
        </w:tc>
        <w:tc>
          <w:tcPr>
            <w:tcW w:w="1025"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0.0</w:t>
            </w:r>
          </w:p>
        </w:tc>
        <w:tc>
          <w:tcPr>
            <w:tcW w:w="963" w:type="dxa"/>
            <w:tcBorders>
              <w:top w:val="nil"/>
              <w:left w:val="nil"/>
              <w:bottom w:val="single" w:sz="8" w:space="0" w:color="auto"/>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0.0</w:t>
            </w:r>
          </w:p>
        </w:tc>
        <w:tc>
          <w:tcPr>
            <w:tcW w:w="816" w:type="dxa"/>
            <w:tcBorders>
              <w:top w:val="nil"/>
              <w:left w:val="nil"/>
              <w:bottom w:val="single" w:sz="8" w:space="0" w:color="auto"/>
              <w:right w:val="single" w:sz="4" w:space="0" w:color="auto"/>
            </w:tcBorders>
            <w:shd w:val="clear" w:color="FFFFFF" w:fill="FFFFFF"/>
            <w:noWrap/>
            <w:vAlign w:val="center"/>
            <w:hideMark/>
          </w:tcPr>
          <w:p w:rsidR="00625719" w:rsidRPr="00137A2B" w:rsidRDefault="00625719" w:rsidP="00F161D7">
            <w:pPr>
              <w:jc w:val="right"/>
              <w:rPr>
                <w:color w:val="333333"/>
                <w:sz w:val="14"/>
                <w:szCs w:val="20"/>
                <w:lang w:val="es-GT" w:eastAsia="es-GT"/>
              </w:rPr>
            </w:pPr>
            <w:r w:rsidRPr="00137A2B">
              <w:rPr>
                <w:color w:val="333333"/>
                <w:sz w:val="14"/>
                <w:szCs w:val="20"/>
                <w:lang w:val="es-GT" w:eastAsia="es-GT"/>
              </w:rPr>
              <w:t>0.0</w:t>
            </w:r>
          </w:p>
        </w:tc>
        <w:tc>
          <w:tcPr>
            <w:tcW w:w="859" w:type="dxa"/>
            <w:tcBorders>
              <w:top w:val="nil"/>
              <w:left w:val="nil"/>
              <w:bottom w:val="single" w:sz="8" w:space="0" w:color="auto"/>
              <w:right w:val="single" w:sz="8" w:space="0" w:color="auto"/>
            </w:tcBorders>
            <w:shd w:val="clear" w:color="FFFFFF" w:fill="FFFFFF"/>
            <w:noWrap/>
            <w:vAlign w:val="center"/>
          </w:tcPr>
          <w:p w:rsidR="00625719" w:rsidRPr="00137A2B" w:rsidRDefault="00625719" w:rsidP="00F161D7">
            <w:pPr>
              <w:jc w:val="right"/>
              <w:rPr>
                <w:color w:val="FFFFFF"/>
                <w:sz w:val="14"/>
                <w:szCs w:val="20"/>
                <w:lang w:val="es-GT" w:eastAsia="es-GT"/>
              </w:rPr>
            </w:pPr>
          </w:p>
        </w:tc>
      </w:tr>
    </w:tbl>
    <w:p w:rsidR="00625719"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Pr="00D108FD" w:rsidRDefault="00625719" w:rsidP="00625719">
      <w:pPr>
        <w:jc w:val="both"/>
      </w:pPr>
    </w:p>
    <w:p w:rsidR="00625719" w:rsidRDefault="00625719" w:rsidP="00625719">
      <w:pPr>
        <w:jc w:val="both"/>
        <w:rPr>
          <w:b/>
        </w:rPr>
      </w:pPr>
      <w:r w:rsidRPr="00D108FD">
        <w:rPr>
          <w:b/>
        </w:rPr>
        <w:t>Ministerio de Desarrollo Social</w:t>
      </w:r>
      <w:r>
        <w:rPr>
          <w:b/>
        </w:rPr>
        <w:t>:</w:t>
      </w:r>
    </w:p>
    <w:p w:rsidR="00625719" w:rsidRPr="00AB2D0A" w:rsidRDefault="00625719" w:rsidP="00625719">
      <w:pPr>
        <w:jc w:val="both"/>
        <w:rPr>
          <w:b/>
          <w:sz w:val="20"/>
        </w:rPr>
      </w:pPr>
    </w:p>
    <w:p w:rsidR="00625719" w:rsidRDefault="00625719" w:rsidP="00625719">
      <w:pPr>
        <w:jc w:val="both"/>
      </w:pPr>
      <w:r w:rsidRPr="00D108FD">
        <w:t>El Min</w:t>
      </w:r>
      <w:r>
        <w:t xml:space="preserve">isterio de </w:t>
      </w:r>
      <w:r w:rsidRPr="00D108FD">
        <w:t>Des</w:t>
      </w:r>
      <w:r>
        <w:t>arrollo Social</w:t>
      </w:r>
      <w:r w:rsidRPr="00D108FD">
        <w:t xml:space="preserve"> tuvo una asignación</w:t>
      </w:r>
      <w:r>
        <w:t xml:space="preserve"> inicial</w:t>
      </w:r>
      <w:r w:rsidRPr="00D108FD">
        <w:t xml:space="preserve"> de </w:t>
      </w:r>
      <w:r>
        <w:t>Q</w:t>
      </w:r>
      <w:r w:rsidR="00134C27">
        <w:t>.</w:t>
      </w:r>
      <w:r w:rsidRPr="00D108FD">
        <w:t>1,</w:t>
      </w:r>
      <w:r>
        <w:t>159.1</w:t>
      </w:r>
      <w:r w:rsidRPr="00D108FD">
        <w:t xml:space="preserve"> millones y una ejecución presupuestaria de </w:t>
      </w:r>
      <w:r>
        <w:t>Q</w:t>
      </w:r>
      <w:r w:rsidR="00134C27">
        <w:t>.</w:t>
      </w:r>
      <w:r>
        <w:t>9</w:t>
      </w:r>
      <w:r w:rsidRPr="00D108FD">
        <w:t>66.</w:t>
      </w:r>
      <w:r>
        <w:t>1</w:t>
      </w:r>
      <w:r w:rsidRPr="00D108FD">
        <w:t xml:space="preserve"> millones equivalente al 8</w:t>
      </w:r>
      <w:r>
        <w:t>3.3</w:t>
      </w:r>
      <w:r w:rsidRPr="00D108FD">
        <w:t>%</w:t>
      </w:r>
      <w:r>
        <w:t xml:space="preserve">. </w:t>
      </w:r>
    </w:p>
    <w:p w:rsidR="00625719" w:rsidRPr="00AB2D0A" w:rsidRDefault="00625719" w:rsidP="00625719">
      <w:pPr>
        <w:jc w:val="both"/>
        <w:rPr>
          <w:sz w:val="20"/>
        </w:rPr>
      </w:pPr>
    </w:p>
    <w:p w:rsidR="00625719" w:rsidRDefault="00625719" w:rsidP="00625719">
      <w:pPr>
        <w:jc w:val="both"/>
      </w:pPr>
      <w:r w:rsidRPr="00D108FD">
        <w:t>El programa con mayor ejecución fue “</w:t>
      </w:r>
      <w:r>
        <w:t>Dotación, Servicios e Infraestructura para el Desarrollo Social</w:t>
      </w:r>
      <w:r w:rsidRPr="00D108FD">
        <w:t xml:space="preserve">” con un presupuesto de </w:t>
      </w:r>
      <w:r>
        <w:t>Q</w:t>
      </w:r>
      <w:r w:rsidR="00134C27">
        <w:t>.</w:t>
      </w:r>
      <w:r>
        <w:t>467.6</w:t>
      </w:r>
      <w:r w:rsidRPr="00D108FD">
        <w:t xml:space="preserve"> millones y una ejecución presupuestaria de </w:t>
      </w:r>
      <w:r>
        <w:t>Q</w:t>
      </w:r>
      <w:r w:rsidR="00134C27">
        <w:t>.</w:t>
      </w:r>
      <w:r w:rsidRPr="00D108FD">
        <w:t>3</w:t>
      </w:r>
      <w:r>
        <w:t>12.4</w:t>
      </w:r>
      <w:r w:rsidRPr="00D108FD">
        <w:t xml:space="preserve"> millones equivalente al </w:t>
      </w:r>
      <w:r>
        <w:t>66.8%.</w:t>
      </w:r>
    </w:p>
    <w:p w:rsidR="00625719" w:rsidRPr="00AB2D0A" w:rsidRDefault="00625719" w:rsidP="00625719">
      <w:pPr>
        <w:jc w:val="both"/>
        <w:rPr>
          <w:sz w:val="20"/>
        </w:rPr>
      </w:pPr>
    </w:p>
    <w:p w:rsidR="00625719" w:rsidRDefault="00625719" w:rsidP="00625719">
      <w:pPr>
        <w:jc w:val="both"/>
      </w:pPr>
      <w:r w:rsidRPr="00D108FD">
        <w:t xml:space="preserve">El programa “Transferencias Monetarias Condicionadas en Salud y Educación” </w:t>
      </w:r>
      <w:r>
        <w:t xml:space="preserve">tiene un </w:t>
      </w:r>
      <w:r w:rsidRPr="00D108FD">
        <w:t>presupuesto</w:t>
      </w:r>
      <w:r>
        <w:t xml:space="preserve"> aprobado</w:t>
      </w:r>
      <w:r w:rsidRPr="00D108FD">
        <w:t xml:space="preserve"> de </w:t>
      </w:r>
      <w:r>
        <w:t>Q</w:t>
      </w:r>
      <w:r w:rsidR="00134C27">
        <w:t>.</w:t>
      </w:r>
      <w:r w:rsidRPr="00D108FD">
        <w:t>3</w:t>
      </w:r>
      <w:r>
        <w:t>52.9</w:t>
      </w:r>
      <w:r w:rsidRPr="00D108FD">
        <w:t xml:space="preserve"> millones y una ejecución presupuestaria de </w:t>
      </w:r>
      <w:r>
        <w:t>Q</w:t>
      </w:r>
      <w:r w:rsidR="00134C27">
        <w:t>.</w:t>
      </w:r>
      <w:r>
        <w:t>249.2</w:t>
      </w:r>
      <w:r w:rsidRPr="00D108FD">
        <w:t xml:space="preserve"> millones equivalente al 7</w:t>
      </w:r>
      <w:r>
        <w:t>0.6%.</w:t>
      </w:r>
    </w:p>
    <w:p w:rsidR="00625719" w:rsidRPr="00AB2D0A" w:rsidRDefault="00625719" w:rsidP="00625719">
      <w:pPr>
        <w:jc w:val="both"/>
        <w:rPr>
          <w:sz w:val="20"/>
        </w:rPr>
      </w:pPr>
    </w:p>
    <w:p w:rsidR="00625719" w:rsidRDefault="00625719" w:rsidP="00625719">
      <w:pPr>
        <w:jc w:val="both"/>
      </w:pPr>
      <w:r>
        <w:t>Por el monto de lo ejecutado, a continuación, se ubica el programa “Administración Institucional” con presupuesto aprobado de Q</w:t>
      </w:r>
      <w:r w:rsidR="00134C27">
        <w:t>.</w:t>
      </w:r>
      <w:r>
        <w:t>68.1 millones, con una ejecución presupuestaria de Q</w:t>
      </w:r>
      <w:r w:rsidR="00134C27">
        <w:t>.</w:t>
      </w:r>
      <w:r>
        <w:t>92.5 millones, equivalente a 135.9%.</w:t>
      </w:r>
    </w:p>
    <w:p w:rsidR="00625719" w:rsidRPr="00AB2D0A" w:rsidRDefault="00625719" w:rsidP="00625719">
      <w:pPr>
        <w:jc w:val="both"/>
        <w:rPr>
          <w:sz w:val="20"/>
        </w:rPr>
      </w:pPr>
    </w:p>
    <w:p w:rsidR="00625719" w:rsidRDefault="00625719" w:rsidP="00625719">
      <w:pPr>
        <w:jc w:val="both"/>
      </w:pPr>
      <w:r w:rsidRPr="00D108FD">
        <w:t>El programa “</w:t>
      </w:r>
      <w:r>
        <w:t xml:space="preserve">Servicios de </w:t>
      </w:r>
      <w:r w:rsidRPr="00D108FD">
        <w:t xml:space="preserve">Apoyo </w:t>
      </w:r>
      <w:r>
        <w:t>Diferentes Programas Sociales</w:t>
      </w:r>
      <w:r w:rsidRPr="00D108FD">
        <w:t xml:space="preserve">” inició con un presupuesto de </w:t>
      </w:r>
      <w:r>
        <w:t>Q</w:t>
      </w:r>
      <w:r w:rsidR="00134C27">
        <w:t>.</w:t>
      </w:r>
      <w:r w:rsidRPr="00D108FD">
        <w:t>1</w:t>
      </w:r>
      <w:r>
        <w:t>00.5</w:t>
      </w:r>
      <w:r w:rsidRPr="00D108FD">
        <w:t xml:space="preserve"> millones y una ejecución presupuestaria de </w:t>
      </w:r>
      <w:r>
        <w:t>Q</w:t>
      </w:r>
      <w:r w:rsidR="00134C27">
        <w:t>.</w:t>
      </w:r>
      <w:r w:rsidRPr="00D108FD">
        <w:t>9</w:t>
      </w:r>
      <w:r>
        <w:t>0.1</w:t>
      </w:r>
      <w:r w:rsidRPr="00D108FD">
        <w:t xml:space="preserve"> millones equivalente al </w:t>
      </w:r>
      <w:r>
        <w:t>89.</w:t>
      </w:r>
      <w:r w:rsidRPr="00D108FD">
        <w:t>7%</w:t>
      </w:r>
      <w:r>
        <w:t xml:space="preserve">. </w:t>
      </w:r>
    </w:p>
    <w:p w:rsidR="00625719" w:rsidRPr="00AB2D0A" w:rsidRDefault="00625719" w:rsidP="00625719">
      <w:pPr>
        <w:jc w:val="both"/>
        <w:rPr>
          <w:sz w:val="20"/>
        </w:rPr>
      </w:pPr>
    </w:p>
    <w:p w:rsidR="00625719" w:rsidRDefault="00625719" w:rsidP="00625719">
      <w:pPr>
        <w:jc w:val="both"/>
      </w:pPr>
      <w:r w:rsidRPr="00D108FD">
        <w:t xml:space="preserve">Los restantes 3 programas tuvieron una ejecución presupuestaria por debajo de los </w:t>
      </w:r>
      <w:r>
        <w:t>Q</w:t>
      </w:r>
      <w:r w:rsidR="00134C27">
        <w:t>.</w:t>
      </w:r>
      <w:r w:rsidRPr="00D108FD">
        <w:t>50.0 millones, según lo reportado en el S</w:t>
      </w:r>
      <w:r w:rsidR="00134C27">
        <w:t>ICOIN</w:t>
      </w:r>
      <w:r w:rsidRPr="00D108FD">
        <w:t xml:space="preserve"> y plasmado en el cuadro que se presenta a continuación</w:t>
      </w:r>
      <w:r>
        <w:t>:</w:t>
      </w: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Programa!F197C2:F206C6" \a \f 4 \h  \* MERGEFORMAT </w:instrText>
      </w:r>
      <w:r>
        <w:rPr>
          <w:noProof/>
          <w:lang w:val="es-GT" w:eastAsia="es-GT"/>
        </w:rPr>
        <w:fldChar w:fldCharType="separate"/>
      </w:r>
    </w:p>
    <w:tbl>
      <w:tblPr>
        <w:tblW w:w="8745" w:type="dxa"/>
        <w:tblInd w:w="70" w:type="dxa"/>
        <w:tblCellMar>
          <w:left w:w="70" w:type="dxa"/>
          <w:right w:w="70" w:type="dxa"/>
        </w:tblCellMar>
        <w:tblLook w:val="04A0" w:firstRow="1" w:lastRow="0" w:firstColumn="1" w:lastColumn="0" w:noHBand="0" w:noVBand="1"/>
      </w:tblPr>
      <w:tblGrid>
        <w:gridCol w:w="5208"/>
        <w:gridCol w:w="895"/>
        <w:gridCol w:w="1114"/>
        <w:gridCol w:w="817"/>
        <w:gridCol w:w="860"/>
      </w:tblGrid>
      <w:tr w:rsidR="00625719" w:rsidRPr="00B436F5" w:rsidTr="00F161D7">
        <w:trPr>
          <w:trHeight w:val="227"/>
        </w:trPr>
        <w:tc>
          <w:tcPr>
            <w:tcW w:w="5208"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B436F5" w:rsidRDefault="00625719" w:rsidP="00F161D7">
            <w:pPr>
              <w:jc w:val="center"/>
              <w:rPr>
                <w:b/>
                <w:bCs/>
                <w:color w:val="000000"/>
                <w:sz w:val="14"/>
                <w:szCs w:val="20"/>
                <w:lang w:val="es-GT" w:eastAsia="es-GT"/>
              </w:rPr>
            </w:pPr>
            <w:r w:rsidRPr="00B436F5">
              <w:rPr>
                <w:b/>
                <w:bCs/>
                <w:color w:val="000000"/>
                <w:sz w:val="14"/>
                <w:szCs w:val="20"/>
                <w:lang w:val="es-GT" w:eastAsia="es-GT"/>
              </w:rPr>
              <w:t>DESCRIPCION</w:t>
            </w:r>
          </w:p>
        </w:tc>
        <w:tc>
          <w:tcPr>
            <w:tcW w:w="746" w:type="dxa"/>
            <w:tcBorders>
              <w:top w:val="single" w:sz="8" w:space="0" w:color="auto"/>
              <w:left w:val="nil"/>
              <w:bottom w:val="single" w:sz="4" w:space="0" w:color="auto"/>
              <w:right w:val="single" w:sz="4" w:space="0" w:color="auto"/>
            </w:tcBorders>
            <w:shd w:val="clear" w:color="000000" w:fill="8DB4E2"/>
            <w:noWrap/>
            <w:hideMark/>
          </w:tcPr>
          <w:p w:rsidR="00625719" w:rsidRPr="00B436F5" w:rsidRDefault="00625719" w:rsidP="00F161D7">
            <w:pPr>
              <w:jc w:val="center"/>
              <w:rPr>
                <w:b/>
                <w:bCs/>
                <w:color w:val="000000"/>
                <w:sz w:val="14"/>
                <w:szCs w:val="20"/>
                <w:lang w:val="es-GT" w:eastAsia="es-GT"/>
              </w:rPr>
            </w:pPr>
            <w:r w:rsidRPr="00B436F5">
              <w:rPr>
                <w:b/>
                <w:bCs/>
                <w:color w:val="000000"/>
                <w:sz w:val="14"/>
                <w:szCs w:val="20"/>
                <w:lang w:val="es-GT" w:eastAsia="es-GT"/>
              </w:rPr>
              <w:t>ASIGNADO</w:t>
            </w:r>
          </w:p>
        </w:tc>
        <w:tc>
          <w:tcPr>
            <w:tcW w:w="1114" w:type="dxa"/>
            <w:tcBorders>
              <w:top w:val="single" w:sz="8" w:space="0" w:color="auto"/>
              <w:left w:val="nil"/>
              <w:bottom w:val="single" w:sz="4" w:space="0" w:color="auto"/>
              <w:right w:val="single" w:sz="4" w:space="0" w:color="auto"/>
            </w:tcBorders>
            <w:shd w:val="clear" w:color="000000" w:fill="8DB4E2"/>
            <w:noWrap/>
            <w:hideMark/>
          </w:tcPr>
          <w:p w:rsidR="00625719" w:rsidRPr="00B436F5" w:rsidRDefault="00625719" w:rsidP="00F161D7">
            <w:pPr>
              <w:jc w:val="center"/>
              <w:rPr>
                <w:b/>
                <w:bCs/>
                <w:color w:val="000000"/>
                <w:sz w:val="14"/>
                <w:szCs w:val="20"/>
                <w:lang w:val="es-GT" w:eastAsia="es-GT"/>
              </w:rPr>
            </w:pPr>
            <w:r w:rsidRPr="00B436F5">
              <w:rPr>
                <w:b/>
                <w:bCs/>
                <w:color w:val="000000"/>
                <w:sz w:val="14"/>
                <w:szCs w:val="20"/>
                <w:lang w:val="es-GT" w:eastAsia="es-GT"/>
              </w:rPr>
              <w:t>EJECUCIÓN</w:t>
            </w:r>
          </w:p>
        </w:tc>
        <w:tc>
          <w:tcPr>
            <w:tcW w:w="817" w:type="dxa"/>
            <w:tcBorders>
              <w:top w:val="single" w:sz="8" w:space="0" w:color="auto"/>
              <w:left w:val="nil"/>
              <w:bottom w:val="single" w:sz="4" w:space="0" w:color="auto"/>
              <w:right w:val="single" w:sz="4" w:space="0" w:color="auto"/>
            </w:tcBorders>
            <w:shd w:val="clear" w:color="000000" w:fill="8DB4E2"/>
            <w:noWrap/>
            <w:hideMark/>
          </w:tcPr>
          <w:p w:rsidR="00625719" w:rsidRPr="00B436F5" w:rsidRDefault="00625719" w:rsidP="00F161D7">
            <w:pPr>
              <w:jc w:val="center"/>
              <w:rPr>
                <w:b/>
                <w:bCs/>
                <w:color w:val="000000"/>
                <w:sz w:val="14"/>
                <w:szCs w:val="20"/>
                <w:lang w:val="es-GT" w:eastAsia="es-GT"/>
              </w:rPr>
            </w:pPr>
            <w:r w:rsidRPr="00B436F5">
              <w:rPr>
                <w:b/>
                <w:bCs/>
                <w:color w:val="000000"/>
                <w:sz w:val="14"/>
                <w:szCs w:val="20"/>
                <w:lang w:val="es-GT" w:eastAsia="es-GT"/>
              </w:rPr>
              <w:t>Diferencias</w:t>
            </w:r>
          </w:p>
        </w:tc>
        <w:tc>
          <w:tcPr>
            <w:tcW w:w="860" w:type="dxa"/>
            <w:tcBorders>
              <w:top w:val="single" w:sz="8" w:space="0" w:color="auto"/>
              <w:left w:val="nil"/>
              <w:bottom w:val="single" w:sz="4" w:space="0" w:color="auto"/>
              <w:right w:val="single" w:sz="8" w:space="0" w:color="auto"/>
            </w:tcBorders>
            <w:shd w:val="clear" w:color="000000" w:fill="8DB4E2"/>
            <w:noWrap/>
            <w:hideMark/>
          </w:tcPr>
          <w:p w:rsidR="00625719" w:rsidRPr="00B436F5" w:rsidRDefault="00625719" w:rsidP="00F161D7">
            <w:pPr>
              <w:jc w:val="center"/>
              <w:rPr>
                <w:b/>
                <w:bCs/>
                <w:color w:val="000000"/>
                <w:sz w:val="14"/>
                <w:szCs w:val="20"/>
                <w:lang w:val="es-GT" w:eastAsia="es-GT"/>
              </w:rPr>
            </w:pPr>
            <w:r w:rsidRPr="00B436F5">
              <w:rPr>
                <w:b/>
                <w:bCs/>
                <w:color w:val="000000"/>
                <w:sz w:val="14"/>
                <w:szCs w:val="20"/>
                <w:lang w:val="es-GT" w:eastAsia="es-GT"/>
              </w:rPr>
              <w:t>% Ejec</w:t>
            </w:r>
          </w:p>
        </w:tc>
      </w:tr>
      <w:tr w:rsidR="00625719" w:rsidRPr="00B436F5" w:rsidTr="00AB2D0A">
        <w:trPr>
          <w:trHeight w:val="196"/>
        </w:trPr>
        <w:tc>
          <w:tcPr>
            <w:tcW w:w="5208" w:type="dxa"/>
            <w:tcBorders>
              <w:top w:val="nil"/>
              <w:left w:val="single" w:sz="8" w:space="0" w:color="auto"/>
              <w:bottom w:val="nil"/>
              <w:right w:val="single" w:sz="4" w:space="0" w:color="auto"/>
            </w:tcBorders>
            <w:shd w:val="clear" w:color="FFFFFF" w:fill="FFFFFF"/>
            <w:noWrap/>
            <w:vAlign w:val="bottom"/>
            <w:hideMark/>
          </w:tcPr>
          <w:p w:rsidR="00625719" w:rsidRPr="00B436F5" w:rsidRDefault="00625719" w:rsidP="00F161D7">
            <w:pPr>
              <w:rPr>
                <w:b/>
                <w:bCs/>
                <w:color w:val="333333"/>
                <w:sz w:val="14"/>
                <w:szCs w:val="20"/>
                <w:lang w:val="es-GT" w:eastAsia="es-GT"/>
              </w:rPr>
            </w:pPr>
            <w:r w:rsidRPr="00B436F5">
              <w:rPr>
                <w:b/>
                <w:bCs/>
                <w:color w:val="333333"/>
                <w:sz w:val="14"/>
                <w:szCs w:val="20"/>
                <w:lang w:val="es-GT" w:eastAsia="es-GT"/>
              </w:rPr>
              <w:t>MINISTERIO DE DESARROLLO SOCIAL</w:t>
            </w:r>
          </w:p>
        </w:tc>
        <w:tc>
          <w:tcPr>
            <w:tcW w:w="746"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b/>
                <w:bCs/>
                <w:color w:val="333333"/>
                <w:sz w:val="14"/>
                <w:szCs w:val="20"/>
                <w:lang w:val="es-GT" w:eastAsia="es-GT"/>
              </w:rPr>
            </w:pPr>
            <w:r w:rsidRPr="00B436F5">
              <w:rPr>
                <w:b/>
                <w:bCs/>
                <w:color w:val="333333"/>
                <w:sz w:val="14"/>
                <w:szCs w:val="20"/>
                <w:lang w:val="es-GT" w:eastAsia="es-GT"/>
              </w:rPr>
              <w:t>1,159.1</w:t>
            </w:r>
          </w:p>
        </w:tc>
        <w:tc>
          <w:tcPr>
            <w:tcW w:w="1114"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b/>
                <w:bCs/>
                <w:color w:val="333333"/>
                <w:sz w:val="14"/>
                <w:szCs w:val="20"/>
                <w:lang w:val="es-GT" w:eastAsia="es-GT"/>
              </w:rPr>
            </w:pPr>
            <w:r w:rsidRPr="00B436F5">
              <w:rPr>
                <w:b/>
                <w:bCs/>
                <w:color w:val="333333"/>
                <w:sz w:val="14"/>
                <w:szCs w:val="20"/>
                <w:lang w:val="es-GT" w:eastAsia="es-GT"/>
              </w:rPr>
              <w:t>966.1</w:t>
            </w:r>
          </w:p>
        </w:tc>
        <w:tc>
          <w:tcPr>
            <w:tcW w:w="817"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b/>
                <w:bCs/>
                <w:color w:val="333333"/>
                <w:sz w:val="14"/>
                <w:szCs w:val="20"/>
                <w:lang w:val="es-GT" w:eastAsia="es-GT"/>
              </w:rPr>
            </w:pPr>
            <w:r w:rsidRPr="00B436F5">
              <w:rPr>
                <w:b/>
                <w:bCs/>
                <w:color w:val="333333"/>
                <w:sz w:val="14"/>
                <w:szCs w:val="20"/>
                <w:lang w:val="es-GT" w:eastAsia="es-GT"/>
              </w:rPr>
              <w:t>193.0</w:t>
            </w:r>
          </w:p>
        </w:tc>
        <w:tc>
          <w:tcPr>
            <w:tcW w:w="860" w:type="dxa"/>
            <w:tcBorders>
              <w:top w:val="nil"/>
              <w:left w:val="nil"/>
              <w:bottom w:val="nil"/>
              <w:right w:val="single" w:sz="8" w:space="0" w:color="auto"/>
            </w:tcBorders>
            <w:shd w:val="clear" w:color="FFFFFF" w:fill="FFFFFF"/>
            <w:noWrap/>
            <w:vAlign w:val="center"/>
            <w:hideMark/>
          </w:tcPr>
          <w:p w:rsidR="00625719" w:rsidRPr="00B436F5" w:rsidRDefault="00625719" w:rsidP="00F161D7">
            <w:pPr>
              <w:jc w:val="right"/>
              <w:rPr>
                <w:b/>
                <w:bCs/>
                <w:color w:val="333333"/>
                <w:sz w:val="14"/>
                <w:szCs w:val="20"/>
                <w:lang w:val="es-GT" w:eastAsia="es-GT"/>
              </w:rPr>
            </w:pPr>
            <w:r w:rsidRPr="00B436F5">
              <w:rPr>
                <w:b/>
                <w:bCs/>
                <w:color w:val="333333"/>
                <w:sz w:val="14"/>
                <w:szCs w:val="20"/>
                <w:lang w:val="es-GT" w:eastAsia="es-GT"/>
              </w:rPr>
              <w:t>83.3%</w:t>
            </w:r>
          </w:p>
        </w:tc>
      </w:tr>
      <w:tr w:rsidR="00625719" w:rsidRPr="00B436F5" w:rsidTr="00F161D7">
        <w:trPr>
          <w:trHeight w:val="340"/>
        </w:trPr>
        <w:tc>
          <w:tcPr>
            <w:tcW w:w="5208" w:type="dxa"/>
            <w:tcBorders>
              <w:top w:val="nil"/>
              <w:left w:val="single" w:sz="8" w:space="0" w:color="auto"/>
              <w:bottom w:val="nil"/>
              <w:right w:val="single" w:sz="4" w:space="0" w:color="auto"/>
            </w:tcBorders>
            <w:shd w:val="clear" w:color="FFFFFF" w:fill="FFFFFF"/>
            <w:vAlign w:val="bottom"/>
            <w:hideMark/>
          </w:tcPr>
          <w:p w:rsidR="00625719" w:rsidRPr="00B436F5" w:rsidRDefault="00625719" w:rsidP="00F161D7">
            <w:pPr>
              <w:ind w:firstLineChars="200" w:firstLine="280"/>
              <w:rPr>
                <w:color w:val="333333"/>
                <w:sz w:val="14"/>
                <w:szCs w:val="20"/>
                <w:lang w:val="es-GT" w:eastAsia="es-GT"/>
              </w:rPr>
            </w:pPr>
            <w:r w:rsidRPr="00B436F5">
              <w:rPr>
                <w:color w:val="333333"/>
                <w:sz w:val="14"/>
                <w:szCs w:val="20"/>
                <w:lang w:val="es-GT" w:eastAsia="es-GT"/>
              </w:rPr>
              <w:t>DOTACIONES, SERVICIOS E INFRAESTRUCTURA PARA EL DESARROLLO SOCIAL</w:t>
            </w:r>
          </w:p>
        </w:tc>
        <w:tc>
          <w:tcPr>
            <w:tcW w:w="746"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467.6</w:t>
            </w:r>
          </w:p>
        </w:tc>
        <w:tc>
          <w:tcPr>
            <w:tcW w:w="1114"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312.4</w:t>
            </w:r>
          </w:p>
        </w:tc>
        <w:tc>
          <w:tcPr>
            <w:tcW w:w="817"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155.2</w:t>
            </w:r>
          </w:p>
        </w:tc>
        <w:tc>
          <w:tcPr>
            <w:tcW w:w="860" w:type="dxa"/>
            <w:tcBorders>
              <w:top w:val="nil"/>
              <w:left w:val="nil"/>
              <w:bottom w:val="nil"/>
              <w:right w:val="single" w:sz="8"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66.8%</w:t>
            </w:r>
          </w:p>
        </w:tc>
      </w:tr>
      <w:tr w:rsidR="00625719" w:rsidRPr="00B436F5" w:rsidTr="00F161D7">
        <w:trPr>
          <w:trHeight w:val="340"/>
        </w:trPr>
        <w:tc>
          <w:tcPr>
            <w:tcW w:w="5208" w:type="dxa"/>
            <w:tcBorders>
              <w:top w:val="nil"/>
              <w:left w:val="single" w:sz="8" w:space="0" w:color="auto"/>
              <w:bottom w:val="nil"/>
              <w:right w:val="single" w:sz="4" w:space="0" w:color="auto"/>
            </w:tcBorders>
            <w:shd w:val="clear" w:color="FFFFFF" w:fill="FFFFFF"/>
            <w:vAlign w:val="bottom"/>
            <w:hideMark/>
          </w:tcPr>
          <w:p w:rsidR="00625719" w:rsidRPr="00B436F5" w:rsidRDefault="00625719" w:rsidP="00F161D7">
            <w:pPr>
              <w:ind w:firstLineChars="200" w:firstLine="280"/>
              <w:rPr>
                <w:color w:val="333333"/>
                <w:sz w:val="14"/>
                <w:szCs w:val="20"/>
                <w:lang w:val="es-GT" w:eastAsia="es-GT"/>
              </w:rPr>
            </w:pPr>
            <w:r w:rsidRPr="00B436F5">
              <w:rPr>
                <w:color w:val="333333"/>
                <w:sz w:val="14"/>
                <w:szCs w:val="20"/>
                <w:lang w:val="es-GT" w:eastAsia="es-GT"/>
              </w:rPr>
              <w:t>TRANSFERENCIAS MONETARIAS CONDICIONADAS EN SALUD Y EDUCACIÓN</w:t>
            </w:r>
          </w:p>
        </w:tc>
        <w:tc>
          <w:tcPr>
            <w:tcW w:w="746"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352.9</w:t>
            </w:r>
          </w:p>
        </w:tc>
        <w:tc>
          <w:tcPr>
            <w:tcW w:w="1114"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249.2</w:t>
            </w:r>
          </w:p>
        </w:tc>
        <w:tc>
          <w:tcPr>
            <w:tcW w:w="817"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103.6</w:t>
            </w:r>
          </w:p>
        </w:tc>
        <w:tc>
          <w:tcPr>
            <w:tcW w:w="860" w:type="dxa"/>
            <w:tcBorders>
              <w:top w:val="nil"/>
              <w:left w:val="nil"/>
              <w:bottom w:val="nil"/>
              <w:right w:val="single" w:sz="8"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70.6%</w:t>
            </w:r>
          </w:p>
        </w:tc>
      </w:tr>
      <w:tr w:rsidR="00625719" w:rsidRPr="00B436F5" w:rsidTr="00F161D7">
        <w:trPr>
          <w:trHeight w:val="340"/>
        </w:trPr>
        <w:tc>
          <w:tcPr>
            <w:tcW w:w="5208" w:type="dxa"/>
            <w:tcBorders>
              <w:top w:val="nil"/>
              <w:left w:val="single" w:sz="8" w:space="0" w:color="auto"/>
              <w:bottom w:val="nil"/>
              <w:right w:val="single" w:sz="4" w:space="0" w:color="auto"/>
            </w:tcBorders>
            <w:shd w:val="clear" w:color="FFFFFF" w:fill="FFFFFF"/>
            <w:vAlign w:val="bottom"/>
            <w:hideMark/>
          </w:tcPr>
          <w:p w:rsidR="00625719" w:rsidRPr="00B436F5" w:rsidRDefault="00625719" w:rsidP="00F161D7">
            <w:pPr>
              <w:ind w:firstLineChars="200" w:firstLine="280"/>
              <w:rPr>
                <w:color w:val="333333"/>
                <w:sz w:val="14"/>
                <w:szCs w:val="20"/>
                <w:lang w:val="es-GT" w:eastAsia="es-GT"/>
              </w:rPr>
            </w:pPr>
            <w:r w:rsidRPr="00B436F5">
              <w:rPr>
                <w:color w:val="333333"/>
                <w:sz w:val="14"/>
                <w:szCs w:val="20"/>
                <w:lang w:val="es-GT" w:eastAsia="es-GT"/>
              </w:rPr>
              <w:t>APOYO PARA EL CONSUMO ADECUADO DE ALIMENTOS</w:t>
            </w:r>
          </w:p>
        </w:tc>
        <w:tc>
          <w:tcPr>
            <w:tcW w:w="746"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87.7</w:t>
            </w:r>
          </w:p>
        </w:tc>
        <w:tc>
          <w:tcPr>
            <w:tcW w:w="1114"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140.8</w:t>
            </w:r>
          </w:p>
        </w:tc>
        <w:tc>
          <w:tcPr>
            <w:tcW w:w="817"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-53.1</w:t>
            </w:r>
          </w:p>
        </w:tc>
        <w:tc>
          <w:tcPr>
            <w:tcW w:w="860" w:type="dxa"/>
            <w:tcBorders>
              <w:top w:val="nil"/>
              <w:left w:val="nil"/>
              <w:bottom w:val="nil"/>
              <w:right w:val="single" w:sz="8"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160.5%</w:t>
            </w:r>
          </w:p>
        </w:tc>
      </w:tr>
      <w:tr w:rsidR="00625719" w:rsidRPr="00B436F5" w:rsidTr="00F161D7">
        <w:trPr>
          <w:trHeight w:val="340"/>
        </w:trPr>
        <w:tc>
          <w:tcPr>
            <w:tcW w:w="5208" w:type="dxa"/>
            <w:tcBorders>
              <w:top w:val="nil"/>
              <w:left w:val="single" w:sz="8" w:space="0" w:color="auto"/>
              <w:bottom w:val="nil"/>
              <w:right w:val="single" w:sz="4" w:space="0" w:color="auto"/>
            </w:tcBorders>
            <w:shd w:val="clear" w:color="FFFFFF" w:fill="FFFFFF"/>
            <w:noWrap/>
            <w:vAlign w:val="bottom"/>
            <w:hideMark/>
          </w:tcPr>
          <w:p w:rsidR="00625719" w:rsidRPr="00B436F5" w:rsidRDefault="00625719" w:rsidP="00F161D7">
            <w:pPr>
              <w:ind w:firstLineChars="200" w:firstLine="280"/>
              <w:rPr>
                <w:color w:val="333333"/>
                <w:sz w:val="14"/>
                <w:szCs w:val="20"/>
                <w:lang w:val="es-GT" w:eastAsia="es-GT"/>
              </w:rPr>
            </w:pPr>
            <w:r w:rsidRPr="00B436F5">
              <w:rPr>
                <w:color w:val="333333"/>
                <w:sz w:val="14"/>
                <w:szCs w:val="20"/>
                <w:lang w:val="es-GT" w:eastAsia="es-GT"/>
              </w:rPr>
              <w:t>ADMINISTRACIÓN INSTITUCIONAL</w:t>
            </w:r>
          </w:p>
        </w:tc>
        <w:tc>
          <w:tcPr>
            <w:tcW w:w="746"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68.1</w:t>
            </w:r>
          </w:p>
        </w:tc>
        <w:tc>
          <w:tcPr>
            <w:tcW w:w="1114"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92.5</w:t>
            </w:r>
          </w:p>
        </w:tc>
        <w:tc>
          <w:tcPr>
            <w:tcW w:w="817"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-24.4</w:t>
            </w:r>
          </w:p>
        </w:tc>
        <w:tc>
          <w:tcPr>
            <w:tcW w:w="860" w:type="dxa"/>
            <w:tcBorders>
              <w:top w:val="nil"/>
              <w:left w:val="nil"/>
              <w:bottom w:val="nil"/>
              <w:right w:val="single" w:sz="8"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135.9%</w:t>
            </w:r>
          </w:p>
        </w:tc>
      </w:tr>
      <w:tr w:rsidR="00625719" w:rsidRPr="00B436F5" w:rsidTr="00F161D7">
        <w:trPr>
          <w:trHeight w:val="340"/>
        </w:trPr>
        <w:tc>
          <w:tcPr>
            <w:tcW w:w="5208" w:type="dxa"/>
            <w:tcBorders>
              <w:top w:val="nil"/>
              <w:left w:val="single" w:sz="8" w:space="0" w:color="auto"/>
              <w:bottom w:val="nil"/>
              <w:right w:val="single" w:sz="4" w:space="0" w:color="auto"/>
            </w:tcBorders>
            <w:shd w:val="clear" w:color="FFFFFF" w:fill="FFFFFF"/>
            <w:vAlign w:val="bottom"/>
            <w:hideMark/>
          </w:tcPr>
          <w:p w:rsidR="00625719" w:rsidRPr="00B436F5" w:rsidRDefault="00625719" w:rsidP="00F161D7">
            <w:pPr>
              <w:ind w:firstLineChars="200" w:firstLine="280"/>
              <w:rPr>
                <w:color w:val="333333"/>
                <w:sz w:val="14"/>
                <w:szCs w:val="20"/>
                <w:lang w:val="es-GT" w:eastAsia="es-GT"/>
              </w:rPr>
            </w:pPr>
            <w:r w:rsidRPr="00B436F5">
              <w:rPr>
                <w:color w:val="333333"/>
                <w:sz w:val="14"/>
                <w:szCs w:val="20"/>
                <w:lang w:val="es-GT" w:eastAsia="es-GT"/>
              </w:rPr>
              <w:t>SERVICIOS DE APOYO A LOS PROGRAMAS SOCIALES (ACTIVIDAD COMÚN A LOS PROGRAMAS 14, 15 Y 21)</w:t>
            </w:r>
          </w:p>
        </w:tc>
        <w:tc>
          <w:tcPr>
            <w:tcW w:w="746"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100.5</w:t>
            </w:r>
          </w:p>
        </w:tc>
        <w:tc>
          <w:tcPr>
            <w:tcW w:w="1114"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90.1</w:t>
            </w:r>
          </w:p>
        </w:tc>
        <w:tc>
          <w:tcPr>
            <w:tcW w:w="817"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10.4</w:t>
            </w:r>
          </w:p>
        </w:tc>
        <w:tc>
          <w:tcPr>
            <w:tcW w:w="860" w:type="dxa"/>
            <w:tcBorders>
              <w:top w:val="nil"/>
              <w:left w:val="nil"/>
              <w:bottom w:val="nil"/>
              <w:right w:val="single" w:sz="8"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89.7%</w:t>
            </w:r>
          </w:p>
        </w:tc>
      </w:tr>
      <w:tr w:rsidR="00625719" w:rsidRPr="00B436F5" w:rsidTr="00F161D7">
        <w:trPr>
          <w:trHeight w:val="340"/>
        </w:trPr>
        <w:tc>
          <w:tcPr>
            <w:tcW w:w="5208" w:type="dxa"/>
            <w:tcBorders>
              <w:top w:val="nil"/>
              <w:left w:val="single" w:sz="8" w:space="0" w:color="auto"/>
              <w:bottom w:val="nil"/>
              <w:right w:val="single" w:sz="4" w:space="0" w:color="auto"/>
            </w:tcBorders>
            <w:shd w:val="clear" w:color="FFFFFF" w:fill="FFFFFF"/>
            <w:vAlign w:val="bottom"/>
            <w:hideMark/>
          </w:tcPr>
          <w:p w:rsidR="00625719" w:rsidRPr="00B436F5" w:rsidRDefault="00625719" w:rsidP="00F161D7">
            <w:pPr>
              <w:ind w:firstLineChars="200" w:firstLine="280"/>
              <w:rPr>
                <w:color w:val="333333"/>
                <w:sz w:val="14"/>
                <w:szCs w:val="20"/>
                <w:lang w:val="es-GT" w:eastAsia="es-GT"/>
              </w:rPr>
            </w:pPr>
            <w:r w:rsidRPr="00B436F5">
              <w:rPr>
                <w:color w:val="333333"/>
                <w:sz w:val="14"/>
                <w:szCs w:val="20"/>
                <w:lang w:val="es-GT" w:eastAsia="es-GT"/>
              </w:rPr>
              <w:t>PREVENCIÓN DE LA DELINCUENCIA EN ADOLESCENTES Y JÓVENES</w:t>
            </w:r>
          </w:p>
        </w:tc>
        <w:tc>
          <w:tcPr>
            <w:tcW w:w="746"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57.2</w:t>
            </w:r>
          </w:p>
        </w:tc>
        <w:tc>
          <w:tcPr>
            <w:tcW w:w="1114"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45.7</w:t>
            </w:r>
          </w:p>
        </w:tc>
        <w:tc>
          <w:tcPr>
            <w:tcW w:w="817"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11.6</w:t>
            </w:r>
          </w:p>
        </w:tc>
        <w:tc>
          <w:tcPr>
            <w:tcW w:w="860" w:type="dxa"/>
            <w:tcBorders>
              <w:top w:val="nil"/>
              <w:left w:val="nil"/>
              <w:bottom w:val="nil"/>
              <w:right w:val="single" w:sz="8"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79.8%</w:t>
            </w:r>
          </w:p>
        </w:tc>
      </w:tr>
      <w:tr w:rsidR="00625719" w:rsidRPr="00B436F5" w:rsidTr="00F161D7">
        <w:trPr>
          <w:trHeight w:val="340"/>
        </w:trPr>
        <w:tc>
          <w:tcPr>
            <w:tcW w:w="5208" w:type="dxa"/>
            <w:tcBorders>
              <w:top w:val="nil"/>
              <w:left w:val="single" w:sz="8" w:space="0" w:color="auto"/>
              <w:bottom w:val="nil"/>
              <w:right w:val="single" w:sz="4" w:space="0" w:color="auto"/>
            </w:tcBorders>
            <w:shd w:val="clear" w:color="FFFFFF" w:fill="FFFFFF"/>
            <w:noWrap/>
            <w:vAlign w:val="bottom"/>
            <w:hideMark/>
          </w:tcPr>
          <w:p w:rsidR="00625719" w:rsidRPr="00B436F5" w:rsidRDefault="00625719" w:rsidP="00F161D7">
            <w:pPr>
              <w:ind w:firstLineChars="200" w:firstLine="280"/>
              <w:rPr>
                <w:color w:val="333333"/>
                <w:sz w:val="14"/>
                <w:szCs w:val="20"/>
                <w:lang w:val="es-GT" w:eastAsia="es-GT"/>
              </w:rPr>
            </w:pPr>
            <w:r w:rsidRPr="00B436F5">
              <w:rPr>
                <w:color w:val="333333"/>
                <w:sz w:val="14"/>
                <w:szCs w:val="20"/>
                <w:lang w:val="es-GT" w:eastAsia="es-GT"/>
              </w:rPr>
              <w:t>PARTIDAS NO ASIGNABLES A PROGRAMAS</w:t>
            </w:r>
          </w:p>
        </w:tc>
        <w:tc>
          <w:tcPr>
            <w:tcW w:w="746"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25.2</w:t>
            </w:r>
          </w:p>
        </w:tc>
        <w:tc>
          <w:tcPr>
            <w:tcW w:w="1114"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28.2</w:t>
            </w:r>
          </w:p>
        </w:tc>
        <w:tc>
          <w:tcPr>
            <w:tcW w:w="817" w:type="dxa"/>
            <w:tcBorders>
              <w:top w:val="nil"/>
              <w:left w:val="nil"/>
              <w:bottom w:val="nil"/>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-3.0</w:t>
            </w:r>
          </w:p>
        </w:tc>
        <w:tc>
          <w:tcPr>
            <w:tcW w:w="860" w:type="dxa"/>
            <w:tcBorders>
              <w:top w:val="nil"/>
              <w:left w:val="nil"/>
              <w:bottom w:val="nil"/>
              <w:right w:val="single" w:sz="8"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111.9%</w:t>
            </w:r>
          </w:p>
        </w:tc>
      </w:tr>
      <w:tr w:rsidR="00625719" w:rsidRPr="00B436F5" w:rsidTr="0034463A">
        <w:trPr>
          <w:trHeight w:val="340"/>
        </w:trPr>
        <w:tc>
          <w:tcPr>
            <w:tcW w:w="5208" w:type="dxa"/>
            <w:tcBorders>
              <w:top w:val="nil"/>
              <w:left w:val="single" w:sz="8" w:space="0" w:color="auto"/>
              <w:bottom w:val="single" w:sz="8" w:space="0" w:color="auto"/>
              <w:right w:val="single" w:sz="4" w:space="0" w:color="auto"/>
            </w:tcBorders>
            <w:shd w:val="clear" w:color="FFFFFF" w:fill="FFFFFF"/>
            <w:vAlign w:val="bottom"/>
            <w:hideMark/>
          </w:tcPr>
          <w:p w:rsidR="00625719" w:rsidRPr="00B436F5" w:rsidRDefault="00625719" w:rsidP="00F161D7">
            <w:pPr>
              <w:ind w:firstLineChars="200" w:firstLine="280"/>
              <w:rPr>
                <w:color w:val="333333"/>
                <w:sz w:val="14"/>
                <w:szCs w:val="20"/>
                <w:lang w:val="es-GT" w:eastAsia="es-GT"/>
              </w:rPr>
            </w:pPr>
            <w:r w:rsidRPr="00B436F5">
              <w:rPr>
                <w:color w:val="333333"/>
                <w:sz w:val="14"/>
                <w:szCs w:val="20"/>
                <w:lang w:val="es-GT" w:eastAsia="es-GT"/>
              </w:rPr>
              <w:t>ATENCIÓN POR DESASTRES NATURALES Y CALAMIDADES PÚBLICAS</w:t>
            </w:r>
          </w:p>
        </w:tc>
        <w:tc>
          <w:tcPr>
            <w:tcW w:w="746"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0.0</w:t>
            </w:r>
          </w:p>
        </w:tc>
        <w:tc>
          <w:tcPr>
            <w:tcW w:w="1114" w:type="dxa"/>
            <w:tcBorders>
              <w:top w:val="nil"/>
              <w:left w:val="nil"/>
              <w:bottom w:val="single" w:sz="8" w:space="0" w:color="auto"/>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7.2</w:t>
            </w:r>
          </w:p>
        </w:tc>
        <w:tc>
          <w:tcPr>
            <w:tcW w:w="817" w:type="dxa"/>
            <w:tcBorders>
              <w:top w:val="nil"/>
              <w:left w:val="single" w:sz="4" w:space="0" w:color="auto"/>
              <w:bottom w:val="single" w:sz="8" w:space="0" w:color="auto"/>
              <w:right w:val="single" w:sz="4" w:space="0" w:color="auto"/>
            </w:tcBorders>
            <w:shd w:val="clear" w:color="FFFFFF" w:fill="FFFFFF"/>
            <w:noWrap/>
            <w:vAlign w:val="center"/>
            <w:hideMark/>
          </w:tcPr>
          <w:p w:rsidR="00625719" w:rsidRPr="00B436F5" w:rsidRDefault="00625719" w:rsidP="00F161D7">
            <w:pPr>
              <w:jc w:val="right"/>
              <w:rPr>
                <w:color w:val="333333"/>
                <w:sz w:val="14"/>
                <w:szCs w:val="20"/>
                <w:lang w:val="es-GT" w:eastAsia="es-GT"/>
              </w:rPr>
            </w:pPr>
            <w:r w:rsidRPr="00B436F5">
              <w:rPr>
                <w:color w:val="333333"/>
                <w:sz w:val="14"/>
                <w:szCs w:val="20"/>
                <w:lang w:val="es-GT" w:eastAsia="es-GT"/>
              </w:rPr>
              <w:t>-7.2</w:t>
            </w:r>
          </w:p>
        </w:tc>
        <w:tc>
          <w:tcPr>
            <w:tcW w:w="860" w:type="dxa"/>
            <w:tcBorders>
              <w:top w:val="nil"/>
              <w:left w:val="single" w:sz="4" w:space="0" w:color="auto"/>
              <w:bottom w:val="single" w:sz="8" w:space="0" w:color="auto"/>
              <w:right w:val="single" w:sz="8" w:space="0" w:color="auto"/>
            </w:tcBorders>
            <w:shd w:val="clear" w:color="FFFFFF" w:fill="FFFFFF"/>
            <w:noWrap/>
            <w:vAlign w:val="center"/>
          </w:tcPr>
          <w:p w:rsidR="00625719" w:rsidRPr="00B436F5" w:rsidRDefault="00625719" w:rsidP="00F161D7">
            <w:pPr>
              <w:jc w:val="right"/>
              <w:rPr>
                <w:color w:val="FFFFFF"/>
                <w:sz w:val="14"/>
                <w:szCs w:val="20"/>
                <w:lang w:val="es-GT" w:eastAsia="es-GT"/>
              </w:rPr>
            </w:pP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Pr="00D108FD" w:rsidRDefault="00625719" w:rsidP="00625719">
      <w:pPr>
        <w:jc w:val="both"/>
      </w:pPr>
    </w:p>
    <w:p w:rsidR="00625719" w:rsidRPr="00D108FD" w:rsidRDefault="00625719" w:rsidP="00625719">
      <w:pPr>
        <w:jc w:val="both"/>
      </w:pPr>
    </w:p>
    <w:p w:rsidR="00625719" w:rsidRDefault="00625719" w:rsidP="00625719">
      <w:pPr>
        <w:jc w:val="both"/>
        <w:rPr>
          <w:b/>
        </w:rPr>
      </w:pPr>
      <w:r w:rsidRPr="00D108FD">
        <w:rPr>
          <w:b/>
        </w:rPr>
        <w:t>Procuraduría General de la Nación</w:t>
      </w:r>
      <w:r>
        <w:rPr>
          <w:b/>
        </w:rPr>
        <w:t>:</w:t>
      </w:r>
    </w:p>
    <w:p w:rsidR="00625719" w:rsidRPr="00D108FD" w:rsidRDefault="00625719" w:rsidP="00625719">
      <w:pPr>
        <w:jc w:val="both"/>
        <w:rPr>
          <w:b/>
        </w:rPr>
      </w:pPr>
    </w:p>
    <w:p w:rsidR="00625719" w:rsidRDefault="00625719" w:rsidP="00625719">
      <w:pPr>
        <w:jc w:val="both"/>
      </w:pPr>
      <w:r w:rsidRPr="00D108FD">
        <w:t xml:space="preserve">Esta entidad </w:t>
      </w:r>
      <w:r>
        <w:t>tuvo</w:t>
      </w:r>
      <w:r w:rsidRPr="00D108FD">
        <w:t xml:space="preserve"> un presupuesto</w:t>
      </w:r>
      <w:r>
        <w:t xml:space="preserve"> aprobado</w:t>
      </w:r>
      <w:r w:rsidRPr="00D108FD">
        <w:t xml:space="preserve"> de </w:t>
      </w:r>
      <w:r>
        <w:t>Q</w:t>
      </w:r>
      <w:r w:rsidR="00984460">
        <w:t>.</w:t>
      </w:r>
      <w:r w:rsidRPr="00D108FD">
        <w:t>1</w:t>
      </w:r>
      <w:r>
        <w:t>17.3</w:t>
      </w:r>
      <w:r w:rsidRPr="00D108FD">
        <w:t xml:space="preserve"> millones y una ejecución presupuestaria de </w:t>
      </w:r>
      <w:r>
        <w:t>Q</w:t>
      </w:r>
      <w:r w:rsidR="00984460">
        <w:t>.</w:t>
      </w:r>
      <w:r w:rsidRPr="00D108FD">
        <w:t>1</w:t>
      </w:r>
      <w:r>
        <w:t>25.2</w:t>
      </w:r>
      <w:r w:rsidRPr="00D108FD">
        <w:t xml:space="preserve"> millones equivalente al </w:t>
      </w:r>
      <w:r>
        <w:t xml:space="preserve">106.8%. </w:t>
      </w:r>
    </w:p>
    <w:p w:rsidR="00625719" w:rsidRDefault="00625719" w:rsidP="00625719">
      <w:pPr>
        <w:jc w:val="both"/>
      </w:pPr>
    </w:p>
    <w:p w:rsidR="00625719" w:rsidRDefault="00625719" w:rsidP="00625719">
      <w:pPr>
        <w:jc w:val="both"/>
      </w:pPr>
      <w:r w:rsidRPr="00D108FD">
        <w:t>El programa con mayor cantidad de recursos ejecutados fue “Protección de los Derechos de la Familia” con un presupuesto</w:t>
      </w:r>
      <w:r>
        <w:t xml:space="preserve"> inicial</w:t>
      </w:r>
      <w:r w:rsidRPr="00D108FD">
        <w:t xml:space="preserve"> de </w:t>
      </w:r>
      <w:r>
        <w:t>Q</w:t>
      </w:r>
      <w:r w:rsidR="00984460">
        <w:t>.</w:t>
      </w:r>
      <w:r>
        <w:t>40</w:t>
      </w:r>
      <w:r w:rsidRPr="00D108FD">
        <w:t xml:space="preserve">.0 millones y una ejecución presupuestaria de </w:t>
      </w:r>
      <w:r>
        <w:t>Q</w:t>
      </w:r>
      <w:r w:rsidR="00984460">
        <w:t>.</w:t>
      </w:r>
      <w:r>
        <w:t>4</w:t>
      </w:r>
      <w:r w:rsidRPr="00D108FD">
        <w:t>3</w:t>
      </w:r>
      <w:r>
        <w:t>.8</w:t>
      </w:r>
      <w:r w:rsidRPr="00D108FD">
        <w:t xml:space="preserve"> millones equivalente al 109.6%</w:t>
      </w:r>
      <w:r>
        <w:t>.</w:t>
      </w:r>
    </w:p>
    <w:p w:rsidR="00625719" w:rsidRPr="00D108FD" w:rsidRDefault="00625719" w:rsidP="00625719">
      <w:pPr>
        <w:jc w:val="both"/>
      </w:pPr>
    </w:p>
    <w:p w:rsidR="00625719" w:rsidRDefault="00625719" w:rsidP="00625719">
      <w:pPr>
        <w:jc w:val="both"/>
      </w:pPr>
      <w:r w:rsidRPr="00D108FD">
        <w:t xml:space="preserve">El programa “Representación y Defensa de los Intereses del Estado” </w:t>
      </w:r>
      <w:r>
        <w:t>reporta un presupuesto aprobado de Q</w:t>
      </w:r>
      <w:r w:rsidR="00984460">
        <w:t>.</w:t>
      </w:r>
      <w:r w:rsidRPr="00D108FD">
        <w:t>34.</w:t>
      </w:r>
      <w:r>
        <w:t>4</w:t>
      </w:r>
      <w:r w:rsidRPr="00D108FD">
        <w:t xml:space="preserve"> millones y una ejecución presupuestaria de </w:t>
      </w:r>
      <w:r>
        <w:t>Q</w:t>
      </w:r>
      <w:r w:rsidR="00984460">
        <w:t>.</w:t>
      </w:r>
      <w:r w:rsidRPr="00D108FD">
        <w:t>3</w:t>
      </w:r>
      <w:r>
        <w:t>8.4</w:t>
      </w:r>
      <w:r w:rsidRPr="00D108FD">
        <w:t xml:space="preserve"> millones equivalente al </w:t>
      </w:r>
      <w:r>
        <w:t>111.7</w:t>
      </w:r>
      <w:r w:rsidRPr="00D108FD">
        <w:t>%</w:t>
      </w:r>
      <w:r>
        <w:t>.</w:t>
      </w:r>
    </w:p>
    <w:p w:rsidR="00625719" w:rsidRPr="00D108FD" w:rsidRDefault="00625719" w:rsidP="00625719">
      <w:pPr>
        <w:jc w:val="both"/>
      </w:pPr>
    </w:p>
    <w:p w:rsidR="00625719" w:rsidRDefault="00625719" w:rsidP="00625719">
      <w:pPr>
        <w:jc w:val="both"/>
      </w:pPr>
      <w:r w:rsidRPr="00D108FD">
        <w:t xml:space="preserve">Las Actividades Centrales </w:t>
      </w:r>
      <w:r>
        <w:t>se ubican con un presupuesto asignado de Q</w:t>
      </w:r>
      <w:r w:rsidR="00984460">
        <w:t>.</w:t>
      </w:r>
      <w:r w:rsidRPr="00D108FD">
        <w:t>3</w:t>
      </w:r>
      <w:r>
        <w:t>8.6</w:t>
      </w:r>
      <w:r w:rsidRPr="00D108FD">
        <w:t xml:space="preserve"> millones y una ejecución presupuestaria de </w:t>
      </w:r>
      <w:r>
        <w:t>Q</w:t>
      </w:r>
      <w:r w:rsidR="00984460">
        <w:t>.</w:t>
      </w:r>
      <w:r>
        <w:t>3</w:t>
      </w:r>
      <w:r w:rsidRPr="00D108FD">
        <w:t>8</w:t>
      </w:r>
      <w:r>
        <w:t>.2</w:t>
      </w:r>
      <w:r w:rsidRPr="00D108FD">
        <w:t xml:space="preserve"> millones equivalente al 9</w:t>
      </w:r>
      <w:r>
        <w:t>9</w:t>
      </w:r>
      <w:r w:rsidRPr="00D108FD">
        <w:t>.1%.</w:t>
      </w:r>
    </w:p>
    <w:p w:rsidR="00625719" w:rsidRPr="00D108FD" w:rsidRDefault="00625719" w:rsidP="00625719">
      <w:pPr>
        <w:jc w:val="both"/>
      </w:pPr>
    </w:p>
    <w:p w:rsidR="00625719" w:rsidRDefault="00625719" w:rsidP="00625719">
      <w:pPr>
        <w:jc w:val="both"/>
      </w:pPr>
      <w:r>
        <w:t>Finalmente aparece el programa de “Consultoría y Asesoría del Estado” con un presupuesto aprobado Q</w:t>
      </w:r>
      <w:r w:rsidR="00984460">
        <w:t>.</w:t>
      </w:r>
      <w:r>
        <w:t>4.3 millones y una ejecución presupuestaria de Q</w:t>
      </w:r>
      <w:r w:rsidR="00984460">
        <w:t>.</w:t>
      </w:r>
      <w:r>
        <w:t>4.</w:t>
      </w:r>
      <w:r w:rsidR="00984460">
        <w:t>8</w:t>
      </w:r>
      <w:r>
        <w:t xml:space="preserve"> millones, equivalente al 110.6%</w:t>
      </w:r>
      <w:r w:rsidRPr="00D108FD">
        <w:t>.</w:t>
      </w: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"Entidad Programa!F208C2:F213C6" \a \f 4 \h  \* MERGEFORMAT </w:instrText>
      </w:r>
      <w:r>
        <w:rPr>
          <w:noProof/>
          <w:lang w:val="es-GT" w:eastAsia="es-GT"/>
        </w:rPr>
        <w:fldChar w:fldCharType="separate"/>
      </w:r>
    </w:p>
    <w:tbl>
      <w:tblPr>
        <w:tblW w:w="9356" w:type="dxa"/>
        <w:tblInd w:w="70" w:type="dxa"/>
        <w:tblCellMar>
          <w:left w:w="70" w:type="dxa"/>
          <w:right w:w="70" w:type="dxa"/>
        </w:tblCellMar>
        <w:tblLook w:val="04A0" w:firstRow="1" w:lastRow="0" w:firstColumn="1" w:lastColumn="0" w:noHBand="0" w:noVBand="1"/>
      </w:tblPr>
      <w:tblGrid>
        <w:gridCol w:w="5103"/>
        <w:gridCol w:w="1134"/>
        <w:gridCol w:w="1134"/>
        <w:gridCol w:w="993"/>
        <w:gridCol w:w="992"/>
      </w:tblGrid>
      <w:tr w:rsidR="00625719" w:rsidRPr="00113E6A" w:rsidTr="00E436B5">
        <w:trPr>
          <w:trHeight w:val="300"/>
        </w:trPr>
        <w:tc>
          <w:tcPr>
            <w:tcW w:w="5103"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113E6A" w:rsidRDefault="00625719" w:rsidP="00F161D7">
            <w:pPr>
              <w:jc w:val="center"/>
              <w:rPr>
                <w:b/>
                <w:bCs/>
                <w:color w:val="000000"/>
                <w:sz w:val="14"/>
                <w:szCs w:val="20"/>
                <w:lang w:val="es-GT" w:eastAsia="es-GT"/>
              </w:rPr>
            </w:pPr>
            <w:r w:rsidRPr="00113E6A">
              <w:rPr>
                <w:b/>
                <w:bCs/>
                <w:color w:val="000000"/>
                <w:sz w:val="14"/>
                <w:szCs w:val="20"/>
                <w:lang w:val="es-GT" w:eastAsia="es-GT"/>
              </w:rPr>
              <w:t>DESCRIPCION</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113E6A" w:rsidRDefault="00625719" w:rsidP="00F161D7">
            <w:pPr>
              <w:jc w:val="center"/>
              <w:rPr>
                <w:b/>
                <w:bCs/>
                <w:color w:val="000000"/>
                <w:sz w:val="14"/>
                <w:szCs w:val="20"/>
                <w:lang w:val="es-GT" w:eastAsia="es-GT"/>
              </w:rPr>
            </w:pPr>
            <w:r w:rsidRPr="00113E6A">
              <w:rPr>
                <w:b/>
                <w:bCs/>
                <w:color w:val="000000"/>
                <w:sz w:val="14"/>
                <w:szCs w:val="20"/>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hideMark/>
          </w:tcPr>
          <w:p w:rsidR="00625719" w:rsidRPr="00113E6A" w:rsidRDefault="00625719" w:rsidP="00F161D7">
            <w:pPr>
              <w:jc w:val="center"/>
              <w:rPr>
                <w:b/>
                <w:bCs/>
                <w:color w:val="000000"/>
                <w:sz w:val="14"/>
                <w:szCs w:val="20"/>
                <w:lang w:val="es-GT" w:eastAsia="es-GT"/>
              </w:rPr>
            </w:pPr>
            <w:r w:rsidRPr="00113E6A">
              <w:rPr>
                <w:b/>
                <w:bCs/>
                <w:color w:val="000000"/>
                <w:sz w:val="14"/>
                <w:szCs w:val="20"/>
                <w:lang w:val="es-GT" w:eastAsia="es-GT"/>
              </w:rPr>
              <w:t>EJECUCIÓN</w:t>
            </w:r>
          </w:p>
        </w:tc>
        <w:tc>
          <w:tcPr>
            <w:tcW w:w="993" w:type="dxa"/>
            <w:tcBorders>
              <w:top w:val="single" w:sz="8" w:space="0" w:color="auto"/>
              <w:left w:val="nil"/>
              <w:bottom w:val="single" w:sz="4" w:space="0" w:color="auto"/>
              <w:right w:val="single" w:sz="4" w:space="0" w:color="auto"/>
            </w:tcBorders>
            <w:shd w:val="clear" w:color="000000" w:fill="8DB4E2"/>
            <w:noWrap/>
            <w:hideMark/>
          </w:tcPr>
          <w:p w:rsidR="00625719" w:rsidRPr="00113E6A" w:rsidRDefault="00625719" w:rsidP="00F161D7">
            <w:pPr>
              <w:jc w:val="center"/>
              <w:rPr>
                <w:b/>
                <w:bCs/>
                <w:color w:val="000000"/>
                <w:sz w:val="14"/>
                <w:szCs w:val="20"/>
                <w:lang w:val="es-GT" w:eastAsia="es-GT"/>
              </w:rPr>
            </w:pPr>
            <w:r w:rsidRPr="00113E6A">
              <w:rPr>
                <w:b/>
                <w:bCs/>
                <w:color w:val="000000"/>
                <w:sz w:val="14"/>
                <w:szCs w:val="20"/>
                <w:lang w:val="es-GT" w:eastAsia="es-GT"/>
              </w:rPr>
              <w:t>Diferencias</w:t>
            </w:r>
          </w:p>
        </w:tc>
        <w:tc>
          <w:tcPr>
            <w:tcW w:w="992" w:type="dxa"/>
            <w:tcBorders>
              <w:top w:val="single" w:sz="8" w:space="0" w:color="auto"/>
              <w:left w:val="nil"/>
              <w:bottom w:val="single" w:sz="4" w:space="0" w:color="auto"/>
              <w:right w:val="single" w:sz="8" w:space="0" w:color="auto"/>
            </w:tcBorders>
            <w:shd w:val="clear" w:color="000000" w:fill="8DB4E2"/>
            <w:noWrap/>
            <w:hideMark/>
          </w:tcPr>
          <w:p w:rsidR="00625719" w:rsidRPr="00113E6A" w:rsidRDefault="00625719" w:rsidP="00F161D7">
            <w:pPr>
              <w:jc w:val="center"/>
              <w:rPr>
                <w:b/>
                <w:bCs/>
                <w:color w:val="000000"/>
                <w:sz w:val="14"/>
                <w:szCs w:val="20"/>
                <w:lang w:val="es-GT" w:eastAsia="es-GT"/>
              </w:rPr>
            </w:pPr>
            <w:r w:rsidRPr="00113E6A">
              <w:rPr>
                <w:b/>
                <w:bCs/>
                <w:color w:val="000000"/>
                <w:sz w:val="14"/>
                <w:szCs w:val="20"/>
                <w:lang w:val="es-GT" w:eastAsia="es-GT"/>
              </w:rPr>
              <w:t>% Ejec</w:t>
            </w:r>
          </w:p>
        </w:tc>
      </w:tr>
      <w:tr w:rsidR="00625719" w:rsidRPr="00113E6A" w:rsidTr="00E436B5">
        <w:trPr>
          <w:trHeight w:val="300"/>
        </w:trPr>
        <w:tc>
          <w:tcPr>
            <w:tcW w:w="5103" w:type="dxa"/>
            <w:tcBorders>
              <w:top w:val="nil"/>
              <w:left w:val="single" w:sz="8" w:space="0" w:color="auto"/>
              <w:bottom w:val="nil"/>
              <w:right w:val="single" w:sz="4" w:space="0" w:color="auto"/>
            </w:tcBorders>
            <w:shd w:val="clear" w:color="FFFFFF" w:fill="FFFFFF"/>
            <w:noWrap/>
            <w:vAlign w:val="bottom"/>
            <w:hideMark/>
          </w:tcPr>
          <w:p w:rsidR="00625719" w:rsidRPr="00113E6A" w:rsidRDefault="00625719" w:rsidP="00F161D7">
            <w:pPr>
              <w:rPr>
                <w:b/>
                <w:bCs/>
                <w:color w:val="333333"/>
                <w:sz w:val="14"/>
                <w:szCs w:val="20"/>
                <w:lang w:val="es-GT" w:eastAsia="es-GT"/>
              </w:rPr>
            </w:pPr>
            <w:r w:rsidRPr="00113E6A">
              <w:rPr>
                <w:b/>
                <w:bCs/>
                <w:color w:val="333333"/>
                <w:sz w:val="14"/>
                <w:szCs w:val="20"/>
                <w:lang w:val="es-GT" w:eastAsia="es-GT"/>
              </w:rPr>
              <w:t>PROCURADURÍA GENERAL DE LA NACIÓN</w:t>
            </w:r>
          </w:p>
        </w:tc>
        <w:tc>
          <w:tcPr>
            <w:tcW w:w="1134"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b/>
                <w:bCs/>
                <w:color w:val="333333"/>
                <w:sz w:val="14"/>
                <w:szCs w:val="20"/>
                <w:lang w:val="es-GT" w:eastAsia="es-GT"/>
              </w:rPr>
            </w:pPr>
            <w:r w:rsidRPr="00113E6A">
              <w:rPr>
                <w:b/>
                <w:bCs/>
                <w:color w:val="333333"/>
                <w:sz w:val="14"/>
                <w:szCs w:val="20"/>
                <w:lang w:val="es-GT" w:eastAsia="es-GT"/>
              </w:rPr>
              <w:t>117.3</w:t>
            </w:r>
          </w:p>
        </w:tc>
        <w:tc>
          <w:tcPr>
            <w:tcW w:w="1134"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b/>
                <w:bCs/>
                <w:color w:val="333333"/>
                <w:sz w:val="14"/>
                <w:szCs w:val="20"/>
                <w:lang w:val="es-GT" w:eastAsia="es-GT"/>
              </w:rPr>
            </w:pPr>
            <w:r w:rsidRPr="00113E6A">
              <w:rPr>
                <w:b/>
                <w:bCs/>
                <w:color w:val="333333"/>
                <w:sz w:val="14"/>
                <w:szCs w:val="20"/>
                <w:lang w:val="es-GT" w:eastAsia="es-GT"/>
              </w:rPr>
              <w:t>125.2</w:t>
            </w:r>
          </w:p>
        </w:tc>
        <w:tc>
          <w:tcPr>
            <w:tcW w:w="993"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b/>
                <w:bCs/>
                <w:color w:val="333333"/>
                <w:sz w:val="14"/>
                <w:szCs w:val="20"/>
                <w:lang w:val="es-GT" w:eastAsia="es-GT"/>
              </w:rPr>
            </w:pPr>
            <w:r w:rsidRPr="00113E6A">
              <w:rPr>
                <w:b/>
                <w:bCs/>
                <w:color w:val="333333"/>
                <w:sz w:val="14"/>
                <w:szCs w:val="20"/>
                <w:lang w:val="es-GT" w:eastAsia="es-GT"/>
              </w:rPr>
              <w:t>-8.0</w:t>
            </w:r>
          </w:p>
        </w:tc>
        <w:tc>
          <w:tcPr>
            <w:tcW w:w="992" w:type="dxa"/>
            <w:tcBorders>
              <w:top w:val="nil"/>
              <w:left w:val="nil"/>
              <w:bottom w:val="nil"/>
              <w:right w:val="single" w:sz="8" w:space="0" w:color="auto"/>
            </w:tcBorders>
            <w:shd w:val="clear" w:color="FFFFFF" w:fill="FFFFFF"/>
            <w:noWrap/>
            <w:vAlign w:val="bottom"/>
            <w:hideMark/>
          </w:tcPr>
          <w:p w:rsidR="00625719" w:rsidRPr="00113E6A" w:rsidRDefault="00625719" w:rsidP="00F161D7">
            <w:pPr>
              <w:jc w:val="right"/>
              <w:rPr>
                <w:b/>
                <w:bCs/>
                <w:color w:val="333333"/>
                <w:sz w:val="14"/>
                <w:szCs w:val="20"/>
                <w:lang w:val="es-GT" w:eastAsia="es-GT"/>
              </w:rPr>
            </w:pPr>
            <w:r w:rsidRPr="00113E6A">
              <w:rPr>
                <w:b/>
                <w:bCs/>
                <w:color w:val="333333"/>
                <w:sz w:val="14"/>
                <w:szCs w:val="20"/>
                <w:lang w:val="es-GT" w:eastAsia="es-GT"/>
              </w:rPr>
              <w:t>106.8%</w:t>
            </w:r>
          </w:p>
        </w:tc>
      </w:tr>
      <w:tr w:rsidR="00625719" w:rsidRPr="00113E6A" w:rsidTr="00E436B5">
        <w:trPr>
          <w:trHeight w:val="300"/>
        </w:trPr>
        <w:tc>
          <w:tcPr>
            <w:tcW w:w="5103" w:type="dxa"/>
            <w:tcBorders>
              <w:top w:val="nil"/>
              <w:left w:val="single" w:sz="8" w:space="0" w:color="auto"/>
              <w:bottom w:val="nil"/>
              <w:right w:val="single" w:sz="4" w:space="0" w:color="auto"/>
            </w:tcBorders>
            <w:shd w:val="clear" w:color="FFFFFF" w:fill="FFFFFF"/>
            <w:noWrap/>
            <w:vAlign w:val="bottom"/>
            <w:hideMark/>
          </w:tcPr>
          <w:p w:rsidR="00625719" w:rsidRPr="00113E6A" w:rsidRDefault="00625719" w:rsidP="00F161D7">
            <w:pPr>
              <w:ind w:firstLineChars="200" w:firstLine="280"/>
              <w:rPr>
                <w:color w:val="333333"/>
                <w:sz w:val="14"/>
                <w:szCs w:val="20"/>
                <w:lang w:val="es-GT" w:eastAsia="es-GT"/>
              </w:rPr>
            </w:pPr>
            <w:r w:rsidRPr="00113E6A">
              <w:rPr>
                <w:color w:val="333333"/>
                <w:sz w:val="14"/>
                <w:szCs w:val="20"/>
                <w:lang w:val="es-GT" w:eastAsia="es-GT"/>
              </w:rPr>
              <w:t>PROTECCIÓN DE LOS DERECHOS DE LA FAMILIA</w:t>
            </w:r>
          </w:p>
        </w:tc>
        <w:tc>
          <w:tcPr>
            <w:tcW w:w="1134"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40.0</w:t>
            </w:r>
          </w:p>
        </w:tc>
        <w:tc>
          <w:tcPr>
            <w:tcW w:w="1134"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43.8</w:t>
            </w:r>
          </w:p>
        </w:tc>
        <w:tc>
          <w:tcPr>
            <w:tcW w:w="993"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-3.8</w:t>
            </w:r>
          </w:p>
        </w:tc>
        <w:tc>
          <w:tcPr>
            <w:tcW w:w="992" w:type="dxa"/>
            <w:tcBorders>
              <w:top w:val="nil"/>
              <w:left w:val="nil"/>
              <w:bottom w:val="nil"/>
              <w:right w:val="single" w:sz="8"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109.6%</w:t>
            </w:r>
          </w:p>
        </w:tc>
      </w:tr>
      <w:tr w:rsidR="00625719" w:rsidRPr="00113E6A" w:rsidTr="00E436B5">
        <w:trPr>
          <w:trHeight w:val="300"/>
        </w:trPr>
        <w:tc>
          <w:tcPr>
            <w:tcW w:w="5103" w:type="dxa"/>
            <w:tcBorders>
              <w:top w:val="nil"/>
              <w:left w:val="single" w:sz="8" w:space="0" w:color="auto"/>
              <w:bottom w:val="nil"/>
              <w:right w:val="single" w:sz="4" w:space="0" w:color="auto"/>
            </w:tcBorders>
            <w:shd w:val="clear" w:color="FFFFFF" w:fill="FFFFFF"/>
            <w:noWrap/>
            <w:vAlign w:val="bottom"/>
            <w:hideMark/>
          </w:tcPr>
          <w:p w:rsidR="00625719" w:rsidRPr="00113E6A" w:rsidRDefault="00625719" w:rsidP="00F161D7">
            <w:pPr>
              <w:ind w:firstLineChars="200" w:firstLine="280"/>
              <w:rPr>
                <w:color w:val="333333"/>
                <w:sz w:val="14"/>
                <w:szCs w:val="20"/>
                <w:lang w:val="es-GT" w:eastAsia="es-GT"/>
              </w:rPr>
            </w:pPr>
            <w:r w:rsidRPr="00113E6A">
              <w:rPr>
                <w:color w:val="333333"/>
                <w:sz w:val="14"/>
                <w:szCs w:val="20"/>
                <w:lang w:val="es-GT" w:eastAsia="es-GT"/>
              </w:rPr>
              <w:t>REPRESENTACIÓN Y DEFENSA DE LOS INTERESES DEL ESTADO</w:t>
            </w:r>
          </w:p>
        </w:tc>
        <w:tc>
          <w:tcPr>
            <w:tcW w:w="1134"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34.4</w:t>
            </w:r>
          </w:p>
        </w:tc>
        <w:tc>
          <w:tcPr>
            <w:tcW w:w="1134"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38.4</w:t>
            </w:r>
          </w:p>
        </w:tc>
        <w:tc>
          <w:tcPr>
            <w:tcW w:w="993"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-4.0</w:t>
            </w:r>
          </w:p>
        </w:tc>
        <w:tc>
          <w:tcPr>
            <w:tcW w:w="992" w:type="dxa"/>
            <w:tcBorders>
              <w:top w:val="nil"/>
              <w:left w:val="nil"/>
              <w:bottom w:val="nil"/>
              <w:right w:val="single" w:sz="8"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111.7%</w:t>
            </w:r>
          </w:p>
        </w:tc>
      </w:tr>
      <w:tr w:rsidR="00625719" w:rsidRPr="00113E6A" w:rsidTr="00E436B5">
        <w:trPr>
          <w:trHeight w:val="300"/>
        </w:trPr>
        <w:tc>
          <w:tcPr>
            <w:tcW w:w="5103" w:type="dxa"/>
            <w:tcBorders>
              <w:top w:val="nil"/>
              <w:left w:val="single" w:sz="8" w:space="0" w:color="auto"/>
              <w:bottom w:val="nil"/>
              <w:right w:val="single" w:sz="4" w:space="0" w:color="auto"/>
            </w:tcBorders>
            <w:shd w:val="clear" w:color="FFFFFF" w:fill="FFFFFF"/>
            <w:noWrap/>
            <w:vAlign w:val="bottom"/>
            <w:hideMark/>
          </w:tcPr>
          <w:p w:rsidR="00625719" w:rsidRPr="00113E6A" w:rsidRDefault="00625719" w:rsidP="00F161D7">
            <w:pPr>
              <w:ind w:firstLineChars="200" w:firstLine="280"/>
              <w:rPr>
                <w:color w:val="333333"/>
                <w:sz w:val="14"/>
                <w:szCs w:val="20"/>
                <w:lang w:val="es-GT" w:eastAsia="es-GT"/>
              </w:rPr>
            </w:pPr>
            <w:r w:rsidRPr="00113E6A">
              <w:rPr>
                <w:color w:val="333333"/>
                <w:sz w:val="14"/>
                <w:szCs w:val="20"/>
                <w:lang w:val="es-GT" w:eastAsia="es-GT"/>
              </w:rPr>
              <w:t>ACTIVIDADES CENTRALES</w:t>
            </w:r>
          </w:p>
        </w:tc>
        <w:tc>
          <w:tcPr>
            <w:tcW w:w="1134"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38.6</w:t>
            </w:r>
          </w:p>
        </w:tc>
        <w:tc>
          <w:tcPr>
            <w:tcW w:w="1134"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38.2</w:t>
            </w:r>
          </w:p>
        </w:tc>
        <w:tc>
          <w:tcPr>
            <w:tcW w:w="993" w:type="dxa"/>
            <w:tcBorders>
              <w:top w:val="nil"/>
              <w:left w:val="nil"/>
              <w:bottom w:val="nil"/>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0.3</w:t>
            </w:r>
          </w:p>
        </w:tc>
        <w:tc>
          <w:tcPr>
            <w:tcW w:w="992" w:type="dxa"/>
            <w:tcBorders>
              <w:top w:val="nil"/>
              <w:left w:val="nil"/>
              <w:bottom w:val="nil"/>
              <w:right w:val="single" w:sz="8"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99.1%</w:t>
            </w:r>
          </w:p>
        </w:tc>
      </w:tr>
      <w:tr w:rsidR="00625719" w:rsidRPr="00113E6A" w:rsidTr="00E436B5">
        <w:trPr>
          <w:trHeight w:val="315"/>
        </w:trPr>
        <w:tc>
          <w:tcPr>
            <w:tcW w:w="5103" w:type="dxa"/>
            <w:tcBorders>
              <w:top w:val="nil"/>
              <w:left w:val="single" w:sz="8" w:space="0" w:color="auto"/>
              <w:bottom w:val="single" w:sz="8" w:space="0" w:color="auto"/>
              <w:right w:val="single" w:sz="4" w:space="0" w:color="auto"/>
            </w:tcBorders>
            <w:shd w:val="clear" w:color="FFFFFF" w:fill="FFFFFF"/>
            <w:noWrap/>
            <w:vAlign w:val="bottom"/>
            <w:hideMark/>
          </w:tcPr>
          <w:p w:rsidR="00625719" w:rsidRPr="00113E6A" w:rsidRDefault="00625719" w:rsidP="00F161D7">
            <w:pPr>
              <w:ind w:firstLineChars="200" w:firstLine="280"/>
              <w:rPr>
                <w:color w:val="333333"/>
                <w:sz w:val="14"/>
                <w:szCs w:val="20"/>
                <w:lang w:val="es-GT" w:eastAsia="es-GT"/>
              </w:rPr>
            </w:pPr>
            <w:r w:rsidRPr="00113E6A">
              <w:rPr>
                <w:color w:val="333333"/>
                <w:sz w:val="14"/>
                <w:szCs w:val="20"/>
                <w:lang w:val="es-GT" w:eastAsia="es-GT"/>
              </w:rPr>
              <w:t>CONSULTORÍA Y ASESORÍA DEL ESTADO</w:t>
            </w:r>
          </w:p>
        </w:tc>
        <w:tc>
          <w:tcPr>
            <w:tcW w:w="1134"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4.3</w:t>
            </w:r>
          </w:p>
        </w:tc>
        <w:tc>
          <w:tcPr>
            <w:tcW w:w="1134" w:type="dxa"/>
            <w:tcBorders>
              <w:top w:val="nil"/>
              <w:left w:val="nil"/>
              <w:bottom w:val="single" w:sz="8" w:space="0" w:color="auto"/>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4.8</w:t>
            </w:r>
          </w:p>
        </w:tc>
        <w:tc>
          <w:tcPr>
            <w:tcW w:w="993" w:type="dxa"/>
            <w:tcBorders>
              <w:top w:val="nil"/>
              <w:left w:val="single" w:sz="4" w:space="0" w:color="auto"/>
              <w:bottom w:val="single" w:sz="8" w:space="0" w:color="auto"/>
              <w:right w:val="single" w:sz="4"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-0.5</w:t>
            </w:r>
          </w:p>
        </w:tc>
        <w:tc>
          <w:tcPr>
            <w:tcW w:w="992" w:type="dxa"/>
            <w:tcBorders>
              <w:top w:val="nil"/>
              <w:left w:val="single" w:sz="4" w:space="0" w:color="auto"/>
              <w:bottom w:val="single" w:sz="8" w:space="0" w:color="auto"/>
              <w:right w:val="single" w:sz="8" w:space="0" w:color="auto"/>
            </w:tcBorders>
            <w:shd w:val="clear" w:color="FFFFFF" w:fill="FFFFFF"/>
            <w:noWrap/>
            <w:vAlign w:val="bottom"/>
            <w:hideMark/>
          </w:tcPr>
          <w:p w:rsidR="00625719" w:rsidRPr="00113E6A" w:rsidRDefault="00625719" w:rsidP="00F161D7">
            <w:pPr>
              <w:jc w:val="right"/>
              <w:rPr>
                <w:color w:val="333333"/>
                <w:sz w:val="14"/>
                <w:szCs w:val="20"/>
                <w:lang w:val="es-GT" w:eastAsia="es-GT"/>
              </w:rPr>
            </w:pPr>
            <w:r w:rsidRPr="00113E6A">
              <w:rPr>
                <w:color w:val="333333"/>
                <w:sz w:val="14"/>
                <w:szCs w:val="20"/>
                <w:lang w:val="es-GT" w:eastAsia="es-GT"/>
              </w:rPr>
              <w:t>110.6%</w:t>
            </w:r>
          </w:p>
        </w:tc>
      </w:tr>
    </w:tbl>
    <w:p w:rsidR="00625719" w:rsidRPr="004E678D" w:rsidRDefault="00625719" w:rsidP="00625719">
      <w:pPr>
        <w:jc w:val="both"/>
        <w:rPr>
          <w:sz w:val="18"/>
        </w:rPr>
      </w:pPr>
      <w:r>
        <w:rPr>
          <w:noProof/>
          <w:lang w:val="es-GT" w:eastAsia="es-GT"/>
        </w:rPr>
        <w:fldChar w:fldCharType="end"/>
      </w:r>
      <w:r w:rsidRPr="004E678D">
        <w:rPr>
          <w:sz w:val="18"/>
        </w:rPr>
        <w:t>Fuente: Ministerio de Finanzas Públicas</w:t>
      </w:r>
      <w:r>
        <w:rPr>
          <w:sz w:val="18"/>
        </w:rPr>
        <w:t>.</w:t>
      </w:r>
    </w:p>
    <w:p w:rsidR="00625719" w:rsidRDefault="00625719" w:rsidP="00625719">
      <w:pPr>
        <w:jc w:val="both"/>
      </w:pPr>
    </w:p>
    <w:p w:rsidR="00625719" w:rsidRPr="00D108FD" w:rsidRDefault="00625719" w:rsidP="00625719">
      <w:pPr>
        <w:jc w:val="both"/>
      </w:pPr>
    </w:p>
    <w:p w:rsidR="00625719" w:rsidRDefault="00625719" w:rsidP="00625719">
      <w:pPr>
        <w:jc w:val="both"/>
        <w:rPr>
          <w:b/>
        </w:rPr>
      </w:pPr>
      <w:r w:rsidRPr="0049429F">
        <w:rPr>
          <w:b/>
        </w:rPr>
        <w:t>Secretarías y Otras Dependencias del Ejecutivo</w:t>
      </w:r>
      <w:r>
        <w:rPr>
          <w:b/>
        </w:rPr>
        <w:t>:</w:t>
      </w:r>
    </w:p>
    <w:p w:rsidR="00625719" w:rsidRPr="0049429F" w:rsidRDefault="00625719" w:rsidP="00625719">
      <w:pPr>
        <w:jc w:val="both"/>
        <w:rPr>
          <w:b/>
        </w:rPr>
      </w:pPr>
    </w:p>
    <w:p w:rsidR="00625719" w:rsidRDefault="00625719" w:rsidP="00625719">
      <w:pPr>
        <w:jc w:val="both"/>
      </w:pPr>
      <w:r>
        <w:t>Las Secretarías en su conjunto tuvieron un presupuesto aprobado de Q</w:t>
      </w:r>
      <w:r w:rsidR="00984460">
        <w:t>.</w:t>
      </w:r>
      <w:r>
        <w:t>1,526.7 millones, de los cuales ejecutaron Q</w:t>
      </w:r>
      <w:r w:rsidR="00984460">
        <w:t>.</w:t>
      </w:r>
      <w:r>
        <w:t>1,327.4 millones, equivalentes al 86.9%</w:t>
      </w:r>
    </w:p>
    <w:p w:rsidR="00625719" w:rsidRDefault="00625719" w:rsidP="00625719">
      <w:pPr>
        <w:jc w:val="both"/>
      </w:pPr>
    </w:p>
    <w:p w:rsidR="00625719" w:rsidRDefault="00625719" w:rsidP="00625719">
      <w:pPr>
        <w:jc w:val="both"/>
      </w:pPr>
      <w:r w:rsidRPr="00D108FD">
        <w:t>Dentro de las Secretarías</w:t>
      </w:r>
      <w:r>
        <w:t>,</w:t>
      </w:r>
      <w:r w:rsidRPr="00D108FD">
        <w:t xml:space="preserve"> por el nivel de recursos ejecutados, resalta como primer punto la Secretaría de Bienestar Social de la Presidencia de la República que contó con </w:t>
      </w:r>
      <w:r>
        <w:t>Q</w:t>
      </w:r>
      <w:r w:rsidR="00984460">
        <w:t>.</w:t>
      </w:r>
      <w:r w:rsidRPr="00D108FD">
        <w:t>2</w:t>
      </w:r>
      <w:r>
        <w:t>95.3</w:t>
      </w:r>
      <w:r w:rsidRPr="00D108FD">
        <w:t xml:space="preserve"> millones de presupuesto</w:t>
      </w:r>
      <w:r>
        <w:t xml:space="preserve"> aprobado</w:t>
      </w:r>
      <w:r w:rsidRPr="00D108FD">
        <w:t xml:space="preserve"> y una ejecución de </w:t>
      </w:r>
      <w:r>
        <w:t>Q</w:t>
      </w:r>
      <w:r w:rsidR="00984460">
        <w:t>.</w:t>
      </w:r>
      <w:r w:rsidRPr="00D108FD">
        <w:t>2</w:t>
      </w:r>
      <w:r>
        <w:t>97.0</w:t>
      </w:r>
      <w:r w:rsidRPr="00D108FD">
        <w:t xml:space="preserve"> millones equivalente al </w:t>
      </w:r>
      <w:r>
        <w:t>100.6</w:t>
      </w:r>
      <w:r w:rsidRPr="00D108FD">
        <w:t>%</w:t>
      </w:r>
      <w:r>
        <w:t>.</w:t>
      </w:r>
      <w:r w:rsidRPr="00D108FD">
        <w:t xml:space="preserve"> </w:t>
      </w:r>
      <w:r>
        <w:t>B</w:t>
      </w:r>
      <w:r w:rsidRPr="00D108FD">
        <w:t xml:space="preserve">ajo el programa </w:t>
      </w:r>
      <w:r>
        <w:t>“</w:t>
      </w:r>
      <w:r w:rsidRPr="00D108FD">
        <w:t>Actividades de Bienes</w:t>
      </w:r>
      <w:r>
        <w:t>tar</w:t>
      </w:r>
      <w:r w:rsidRPr="00D108FD">
        <w:t xml:space="preserve"> Social</w:t>
      </w:r>
      <w:r>
        <w:t>”</w:t>
      </w:r>
      <w:r w:rsidRPr="00D108FD">
        <w:t>.</w:t>
      </w:r>
    </w:p>
    <w:p w:rsidR="00625719" w:rsidRPr="00D108FD" w:rsidRDefault="00625719" w:rsidP="00625719">
      <w:pPr>
        <w:jc w:val="both"/>
      </w:pPr>
    </w:p>
    <w:p w:rsidR="00625719" w:rsidRDefault="00625719" w:rsidP="00625719">
      <w:pPr>
        <w:jc w:val="both"/>
      </w:pPr>
      <w:r w:rsidRPr="00D108FD">
        <w:t xml:space="preserve">Seguidamente se puede observar que, dentro de los montos importantes de ejecución, se ubica la Secretaría de Obras Sociales de la Esposa del </w:t>
      </w:r>
      <w:r>
        <w:t>P</w:t>
      </w:r>
      <w:r w:rsidRPr="00D108FD">
        <w:t>residente, que alcanzó un presupuesto</w:t>
      </w:r>
      <w:r>
        <w:t xml:space="preserve"> aprobado</w:t>
      </w:r>
      <w:r w:rsidRPr="00D108FD">
        <w:t xml:space="preserve"> de </w:t>
      </w:r>
      <w:r>
        <w:t>Q</w:t>
      </w:r>
      <w:r w:rsidR="00984460">
        <w:t>.</w:t>
      </w:r>
      <w:r>
        <w:t>200.4</w:t>
      </w:r>
      <w:r w:rsidRPr="00D108FD">
        <w:t xml:space="preserve"> millones y una ejecución presupuestaria de </w:t>
      </w:r>
      <w:r>
        <w:t>Q</w:t>
      </w:r>
      <w:r w:rsidR="00984460">
        <w:t>.</w:t>
      </w:r>
      <w:r w:rsidRPr="00D108FD">
        <w:t>1</w:t>
      </w:r>
      <w:r>
        <w:t>74.0</w:t>
      </w:r>
      <w:r w:rsidRPr="00D108FD">
        <w:t xml:space="preserve"> millones equivalente al </w:t>
      </w:r>
      <w:r>
        <w:t xml:space="preserve">86.9%, </w:t>
      </w:r>
      <w:r w:rsidRPr="00D108FD">
        <w:t>bajo el programa de Ob</w:t>
      </w:r>
      <w:r>
        <w:t>r</w:t>
      </w:r>
      <w:r w:rsidRPr="00D108FD">
        <w:t>as Sociales.</w:t>
      </w:r>
    </w:p>
    <w:p w:rsidR="00625719" w:rsidRDefault="00625719" w:rsidP="00625719">
      <w:pPr>
        <w:jc w:val="both"/>
      </w:pPr>
    </w:p>
    <w:p w:rsidR="00AB2D0A" w:rsidRPr="00D108FD" w:rsidRDefault="00AB2D0A" w:rsidP="00625719">
      <w:pPr>
        <w:jc w:val="both"/>
      </w:pPr>
    </w:p>
    <w:p w:rsidR="00625719" w:rsidRDefault="00625719" w:rsidP="00625719">
      <w:pPr>
        <w:jc w:val="both"/>
      </w:pPr>
      <w:r w:rsidRPr="00D108FD">
        <w:t xml:space="preserve">También resalta el Consejo Nacional de Áreas Protegidas con un presupuesto de </w:t>
      </w:r>
      <w:r>
        <w:t>Q</w:t>
      </w:r>
      <w:r w:rsidR="00984460">
        <w:t>.</w:t>
      </w:r>
      <w:r w:rsidRPr="00D108FD">
        <w:t>1</w:t>
      </w:r>
      <w:r>
        <w:t>23.0</w:t>
      </w:r>
      <w:r w:rsidRPr="00D108FD">
        <w:t xml:space="preserve"> millones y una ejecución de </w:t>
      </w:r>
      <w:r>
        <w:t>Q</w:t>
      </w:r>
      <w:r w:rsidR="00984460">
        <w:t>.</w:t>
      </w:r>
      <w:r w:rsidRPr="00D108FD">
        <w:t>10</w:t>
      </w:r>
      <w:r>
        <w:t>8.2</w:t>
      </w:r>
      <w:r w:rsidRPr="00D108FD">
        <w:t xml:space="preserve"> millones equivalente al </w:t>
      </w:r>
      <w:r>
        <w:t>88.0</w:t>
      </w:r>
      <w:r w:rsidRPr="00D108FD">
        <w:t xml:space="preserve">% bajo el programa </w:t>
      </w:r>
      <w:r>
        <w:t>Restauración, Protección, Conservación de Áreas Protegidas y Diversidad Biológica</w:t>
      </w:r>
      <w:r w:rsidRPr="00D108FD">
        <w:t>.</w:t>
      </w:r>
    </w:p>
    <w:p w:rsidR="00625719" w:rsidRPr="00AB2D0A" w:rsidRDefault="00625719" w:rsidP="00625719">
      <w:pPr>
        <w:jc w:val="both"/>
        <w:rPr>
          <w:sz w:val="32"/>
        </w:rPr>
      </w:pPr>
    </w:p>
    <w:p w:rsidR="00625719" w:rsidRDefault="00625719" w:rsidP="00625719">
      <w:pPr>
        <w:jc w:val="both"/>
      </w:pPr>
      <w:r w:rsidRPr="00D108FD">
        <w:t xml:space="preserve">Otra </w:t>
      </w:r>
      <w:r>
        <w:t xml:space="preserve">entidad </w:t>
      </w:r>
      <w:r w:rsidRPr="00D108FD">
        <w:t>que destin</w:t>
      </w:r>
      <w:r>
        <w:t>ó</w:t>
      </w:r>
      <w:r w:rsidRPr="00D108FD">
        <w:t xml:space="preserve"> un monto considerable en su ejecución durante 2018 fue la Secretaría de Planificación y Programación de la Presidencia con un presupuesto de </w:t>
      </w:r>
      <w:r>
        <w:t>Q</w:t>
      </w:r>
      <w:r w:rsidR="00984460">
        <w:t>.</w:t>
      </w:r>
      <w:r>
        <w:t>102.</w:t>
      </w:r>
      <w:r w:rsidRPr="00D108FD">
        <w:t xml:space="preserve">9 millones y una ejecución presupuestaria de </w:t>
      </w:r>
      <w:r>
        <w:t>Q</w:t>
      </w:r>
      <w:r w:rsidR="00984460">
        <w:t>.</w:t>
      </w:r>
      <w:r>
        <w:t>86.9</w:t>
      </w:r>
      <w:r w:rsidRPr="00D108FD">
        <w:t xml:space="preserve"> millones equivalentes al </w:t>
      </w:r>
      <w:r>
        <w:t>8</w:t>
      </w:r>
      <w:r w:rsidRPr="00D108FD">
        <w:t>4.</w:t>
      </w:r>
      <w:r>
        <w:t>4</w:t>
      </w:r>
      <w:r w:rsidRPr="00D108FD">
        <w:t>%, bajo el programa Planificación, Monitoreo y Evaluación de la Gestión Pública.</w:t>
      </w:r>
    </w:p>
    <w:p w:rsidR="00625719" w:rsidRPr="00AB2D0A" w:rsidRDefault="00625719" w:rsidP="00625719">
      <w:pPr>
        <w:jc w:val="both"/>
        <w:rPr>
          <w:sz w:val="32"/>
        </w:rPr>
      </w:pPr>
    </w:p>
    <w:p w:rsidR="00625719" w:rsidRDefault="00625719" w:rsidP="00625719">
      <w:pPr>
        <w:jc w:val="both"/>
      </w:pPr>
      <w:r>
        <w:t>La</w:t>
      </w:r>
      <w:r w:rsidRPr="00D108FD">
        <w:t xml:space="preserve"> Comisión Presidencial Coordinadora en Materia de Derechos Humanos, </w:t>
      </w:r>
      <w:r>
        <w:t xml:space="preserve">tuvo un presupuesto aprobado </w:t>
      </w:r>
      <w:r w:rsidRPr="00D108FD">
        <w:t xml:space="preserve">de </w:t>
      </w:r>
      <w:r>
        <w:t>Q</w:t>
      </w:r>
      <w:r w:rsidR="00984460">
        <w:t>.</w:t>
      </w:r>
      <w:r>
        <w:t>182.7</w:t>
      </w:r>
      <w:r w:rsidRPr="00D108FD">
        <w:t xml:space="preserve"> millones y una ejecución presupuestaria de </w:t>
      </w:r>
      <w:r>
        <w:t>Q</w:t>
      </w:r>
      <w:r w:rsidR="00984460">
        <w:t>.</w:t>
      </w:r>
      <w:r>
        <w:t>76.8</w:t>
      </w:r>
      <w:r w:rsidRPr="00D108FD">
        <w:t xml:space="preserve"> millones equivalentes al </w:t>
      </w:r>
      <w:r>
        <w:t>42.0</w:t>
      </w:r>
      <w:r w:rsidRPr="00D108FD">
        <w:t>% bajo el programa Coordinación de Acciones Sobre Derechos Humanos.</w:t>
      </w:r>
    </w:p>
    <w:p w:rsidR="00625719" w:rsidRPr="00AB2D0A" w:rsidRDefault="00625719" w:rsidP="00625719">
      <w:pPr>
        <w:jc w:val="both"/>
        <w:rPr>
          <w:sz w:val="32"/>
        </w:rPr>
      </w:pPr>
    </w:p>
    <w:p w:rsidR="00625719" w:rsidRDefault="00625719" w:rsidP="00625719">
      <w:pPr>
        <w:jc w:val="both"/>
      </w:pPr>
      <w:r w:rsidRPr="00D108FD">
        <w:t xml:space="preserve">Por su parte la Secretaría de Coordinación Ejecutiva de la Presidencia </w:t>
      </w:r>
      <w:r>
        <w:t>con</w:t>
      </w:r>
      <w:r w:rsidRPr="00D108FD">
        <w:t xml:space="preserve"> presupuesto</w:t>
      </w:r>
      <w:r>
        <w:t xml:space="preserve"> aprobado</w:t>
      </w:r>
      <w:r w:rsidRPr="00D108FD">
        <w:t xml:space="preserve"> de </w:t>
      </w:r>
      <w:r>
        <w:t>Q</w:t>
      </w:r>
      <w:r w:rsidR="00984460">
        <w:t>.</w:t>
      </w:r>
      <w:r w:rsidRPr="00D108FD">
        <w:t>6</w:t>
      </w:r>
      <w:r>
        <w:t>3.0</w:t>
      </w:r>
      <w:r w:rsidRPr="00D108FD">
        <w:t xml:space="preserve"> millones, en tanto que su ejecución presupuestaria fue de </w:t>
      </w:r>
      <w:r>
        <w:t>Q</w:t>
      </w:r>
      <w:r w:rsidR="00984460">
        <w:t>.</w:t>
      </w:r>
      <w:r w:rsidRPr="00D108FD">
        <w:t>6</w:t>
      </w:r>
      <w:r>
        <w:t>6</w:t>
      </w:r>
      <w:r w:rsidRPr="00D108FD">
        <w:t xml:space="preserve">.2 millones equivalente al </w:t>
      </w:r>
      <w:r>
        <w:t>105.1</w:t>
      </w:r>
      <w:r w:rsidRPr="00D108FD">
        <w:t>%</w:t>
      </w:r>
      <w:r>
        <w:t>.</w:t>
      </w:r>
      <w:r w:rsidRPr="00D108FD">
        <w:t xml:space="preserve"> </w:t>
      </w:r>
      <w:r>
        <w:t>B</w:t>
      </w:r>
      <w:r w:rsidRPr="00D108FD">
        <w:t>ajo el programa Coordinación de Políticas y Proyectos de Desarrollo.</w:t>
      </w:r>
    </w:p>
    <w:p w:rsidR="00625719" w:rsidRPr="00AB2D0A" w:rsidRDefault="00625719" w:rsidP="00625719">
      <w:pPr>
        <w:jc w:val="both"/>
        <w:rPr>
          <w:sz w:val="32"/>
        </w:rPr>
      </w:pPr>
    </w:p>
    <w:p w:rsidR="00625719" w:rsidRDefault="00625719" w:rsidP="00625719">
      <w:pPr>
        <w:jc w:val="both"/>
      </w:pPr>
      <w:r w:rsidRPr="00D108FD">
        <w:t>La Secretaría de la Paz alcanzó un presupuesto</w:t>
      </w:r>
      <w:r>
        <w:t xml:space="preserve"> aprobado</w:t>
      </w:r>
      <w:r w:rsidRPr="00D108FD">
        <w:t xml:space="preserve"> de </w:t>
      </w:r>
      <w:r>
        <w:t>Q</w:t>
      </w:r>
      <w:r w:rsidR="00984460">
        <w:t>.</w:t>
      </w:r>
      <w:r w:rsidRPr="00D108FD">
        <w:t>6</w:t>
      </w:r>
      <w:r>
        <w:t>8.6</w:t>
      </w:r>
      <w:r w:rsidRPr="00D108FD">
        <w:t xml:space="preserve"> y una ejecución presupuestaria de </w:t>
      </w:r>
      <w:r>
        <w:t>Q</w:t>
      </w:r>
      <w:r w:rsidR="00984460">
        <w:t>.</w:t>
      </w:r>
      <w:r w:rsidRPr="00D108FD">
        <w:t>5</w:t>
      </w:r>
      <w:r>
        <w:t>4.8</w:t>
      </w:r>
      <w:r w:rsidRPr="00D108FD">
        <w:t xml:space="preserve"> millones equivalente al 7</w:t>
      </w:r>
      <w:r>
        <w:t>9.9</w:t>
      </w:r>
      <w:r w:rsidRPr="00D108FD">
        <w:t xml:space="preserve">%, bajo </w:t>
      </w:r>
      <w:r>
        <w:t>e</w:t>
      </w:r>
      <w:r w:rsidRPr="00D108FD">
        <w:t xml:space="preserve">l </w:t>
      </w:r>
      <w:r>
        <w:t>Programa</w:t>
      </w:r>
      <w:r w:rsidRPr="00D108FD">
        <w:t xml:space="preserve"> Nacional de Resarcimiento</w:t>
      </w:r>
      <w:r>
        <w:t xml:space="preserve"> y </w:t>
      </w:r>
      <w:r w:rsidRPr="00D108FD">
        <w:t>el programa Seguimiento del Cumplimiento de los Acuerdos Paz.</w:t>
      </w:r>
    </w:p>
    <w:p w:rsidR="00625719" w:rsidRPr="00AB2D0A" w:rsidRDefault="00625719" w:rsidP="00625719">
      <w:pPr>
        <w:jc w:val="both"/>
        <w:rPr>
          <w:sz w:val="32"/>
        </w:rPr>
      </w:pPr>
    </w:p>
    <w:p w:rsidR="00625719" w:rsidRDefault="00625719" w:rsidP="00625719">
      <w:pPr>
        <w:jc w:val="both"/>
      </w:pPr>
      <w:r w:rsidRPr="00D108FD">
        <w:t>La Oficina Nacional de Servicio Civil tuvo un presupuesto</w:t>
      </w:r>
      <w:r>
        <w:t xml:space="preserve"> inicial</w:t>
      </w:r>
      <w:r w:rsidRPr="00D108FD">
        <w:t xml:space="preserve"> de </w:t>
      </w:r>
      <w:r>
        <w:t>Q</w:t>
      </w:r>
      <w:r w:rsidR="00984460">
        <w:t>.</w:t>
      </w:r>
      <w:r w:rsidRPr="00D108FD">
        <w:t>5</w:t>
      </w:r>
      <w:r>
        <w:t>2.</w:t>
      </w:r>
      <w:r w:rsidRPr="00D108FD">
        <w:t xml:space="preserve">1 millones, y alcanzó una ejecución de </w:t>
      </w:r>
      <w:r>
        <w:t>Q</w:t>
      </w:r>
      <w:r w:rsidR="00984460">
        <w:t>.</w:t>
      </w:r>
      <w:r w:rsidRPr="00D108FD">
        <w:t>5</w:t>
      </w:r>
      <w:r>
        <w:t>2.6</w:t>
      </w:r>
      <w:r w:rsidRPr="00D108FD">
        <w:t xml:space="preserve"> millones equivalente al </w:t>
      </w:r>
      <w:r>
        <w:t>100.</w:t>
      </w:r>
      <w:r w:rsidRPr="00D108FD">
        <w:t>9% bajo el programa Administración de Recursos Humanos de la Administración Pública y del Régimen de Clases Pasivas Civiles y del Estado.</w:t>
      </w:r>
    </w:p>
    <w:p w:rsidR="00625719" w:rsidRPr="00AB2D0A" w:rsidRDefault="00625719" w:rsidP="00625719">
      <w:pPr>
        <w:jc w:val="both"/>
        <w:rPr>
          <w:sz w:val="32"/>
        </w:rPr>
      </w:pPr>
    </w:p>
    <w:p w:rsidR="00625719" w:rsidRDefault="00625719" w:rsidP="00625719">
      <w:pPr>
        <w:jc w:val="both"/>
      </w:pPr>
      <w:r w:rsidRPr="00D108FD">
        <w:t xml:space="preserve">Por su parte la Secretaría de Seguridad Alimentaria y Nutricional de la Presidencia de la República tuvo un </w:t>
      </w:r>
      <w:r>
        <w:t xml:space="preserve">presupuesto aprobado </w:t>
      </w:r>
      <w:r w:rsidRPr="00D108FD">
        <w:t xml:space="preserve">de </w:t>
      </w:r>
      <w:r>
        <w:t>Q</w:t>
      </w:r>
      <w:r w:rsidR="00984460">
        <w:t>.</w:t>
      </w:r>
      <w:r>
        <w:t>50.2</w:t>
      </w:r>
      <w:r w:rsidRPr="00D108FD">
        <w:t xml:space="preserve"> millones y una ejecución presupuestaria de </w:t>
      </w:r>
      <w:r>
        <w:t>Q</w:t>
      </w:r>
      <w:r w:rsidR="00984460">
        <w:t>.</w:t>
      </w:r>
      <w:r>
        <w:t>50.9</w:t>
      </w:r>
      <w:r w:rsidRPr="00D108FD">
        <w:t xml:space="preserve"> millones equivalente al </w:t>
      </w:r>
      <w:r>
        <w:t>101.4</w:t>
      </w:r>
      <w:r w:rsidRPr="00D108FD">
        <w:t>% bajo el programa Asuntos de Seguridad Alimentaria y Nutricional.</w:t>
      </w:r>
    </w:p>
    <w:p w:rsidR="00625719" w:rsidRPr="00AB2D0A" w:rsidRDefault="00625719" w:rsidP="00625719">
      <w:pPr>
        <w:jc w:val="both"/>
        <w:rPr>
          <w:sz w:val="32"/>
        </w:rPr>
      </w:pPr>
    </w:p>
    <w:p w:rsidR="00625719" w:rsidRPr="00D108FD" w:rsidRDefault="00625719" w:rsidP="00625719">
      <w:pPr>
        <w:jc w:val="both"/>
      </w:pPr>
      <w:r>
        <w:t>El resto de las entidades que conforman las Secretarías, ejecutaron por debajo de los Q</w:t>
      </w:r>
      <w:r w:rsidR="00984460">
        <w:t>.</w:t>
      </w:r>
      <w:r>
        <w:t>41.8 millones</w:t>
      </w:r>
      <w:r w:rsidR="00A95DB1">
        <w:t>, que incluye principalmente a</w:t>
      </w:r>
      <w:r>
        <w:t xml:space="preserve"> la Secretaría de Asuntos Agrarios.</w:t>
      </w:r>
    </w:p>
    <w:p w:rsidR="00625719" w:rsidRDefault="00625719" w:rsidP="00625719">
      <w:pPr>
        <w:jc w:val="both"/>
        <w:rPr>
          <w:rFonts w:ascii="Calibri" w:eastAsia="Calibri" w:hAnsi="Calibri"/>
          <w:sz w:val="20"/>
          <w:szCs w:val="20"/>
          <w:lang w:val="es-GT" w:eastAsia="es-GT"/>
        </w:rPr>
      </w:pPr>
      <w:r>
        <w:rPr>
          <w:noProof/>
          <w:lang w:val="es-GT" w:eastAsia="es-GT"/>
        </w:rPr>
        <w:fldChar w:fldCharType="begin"/>
      </w:r>
      <w:r>
        <w:rPr>
          <w:noProof/>
          <w:lang w:val="es-GT" w:eastAsia="es-GT"/>
        </w:rPr>
        <w:instrText xml:space="preserve"> LINK Excel.Sheet.12 "C:\\Users\\deefoper12\\Documents\\Mis Documentos\\2020\\DTF\\memoria de labores 2019\\Cuadros para cierre 2019.xlsx" Secretarías!F6C2:F83C6 \a \f 4 \h  \* MERGEFORMAT </w:instrText>
      </w:r>
      <w:r>
        <w:rPr>
          <w:noProof/>
          <w:lang w:val="es-GT" w:eastAsia="es-GT"/>
        </w:rPr>
        <w:fldChar w:fldCharType="separate"/>
      </w:r>
    </w:p>
    <w:p w:rsidR="00625719" w:rsidRPr="00D108FD" w:rsidRDefault="00625719" w:rsidP="00625719">
      <w:pPr>
        <w:jc w:val="both"/>
      </w:pPr>
      <w:r>
        <w:rPr>
          <w:noProof/>
          <w:lang w:val="es-GT" w:eastAsia="es-GT"/>
        </w:rPr>
        <w:lastRenderedPageBreak/>
        <w:fldChar w:fldCharType="end"/>
      </w:r>
      <w:r w:rsidRPr="00FC2EDC">
        <w:rPr>
          <w:noProof/>
          <w:lang w:val="es-GT" w:eastAsia="es-GT"/>
        </w:rPr>
        <w:drawing>
          <wp:inline distT="0" distB="0" distL="0" distR="0" wp14:anchorId="54820D7B" wp14:editId="1C4C11DC">
            <wp:extent cx="5910681" cy="6001318"/>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12126" cy="6002786"/>
                    </a:xfrm>
                    <a:prstGeom prst="rect">
                      <a:avLst/>
                    </a:prstGeom>
                    <a:noFill/>
                    <a:ln>
                      <a:noFill/>
                    </a:ln>
                  </pic:spPr>
                </pic:pic>
              </a:graphicData>
            </a:graphic>
          </wp:inline>
        </w:drawing>
      </w:r>
    </w:p>
    <w:p w:rsidR="00625719" w:rsidRPr="004E678D" w:rsidRDefault="00625719" w:rsidP="00625719">
      <w:pPr>
        <w:jc w:val="both"/>
        <w:rPr>
          <w:sz w:val="18"/>
        </w:rPr>
      </w:pPr>
      <w:r w:rsidRPr="004E678D">
        <w:rPr>
          <w:sz w:val="18"/>
        </w:rPr>
        <w:t>Fuente: Ministerio de Finanzas Públicas</w:t>
      </w:r>
      <w:r>
        <w:rPr>
          <w:sz w:val="18"/>
        </w:rPr>
        <w:t>.</w:t>
      </w:r>
    </w:p>
    <w:p w:rsidR="00625719" w:rsidRDefault="00625719" w:rsidP="00625719">
      <w:pPr>
        <w:jc w:val="both"/>
        <w:rPr>
          <w:b/>
        </w:rPr>
      </w:pPr>
    </w:p>
    <w:p w:rsidR="00AB2D0A" w:rsidRDefault="00AB2D0A" w:rsidP="00625719">
      <w:pPr>
        <w:jc w:val="both"/>
        <w:rPr>
          <w:b/>
        </w:rPr>
      </w:pPr>
    </w:p>
    <w:p w:rsidR="00AB2D0A" w:rsidRPr="006469FA" w:rsidRDefault="00AB2D0A" w:rsidP="00625719">
      <w:pPr>
        <w:jc w:val="both"/>
        <w:rPr>
          <w:b/>
          <w:sz w:val="12"/>
        </w:rPr>
      </w:pPr>
    </w:p>
    <w:p w:rsidR="00625719" w:rsidRDefault="00625719" w:rsidP="00625719">
      <w:pPr>
        <w:jc w:val="both"/>
        <w:rPr>
          <w:b/>
        </w:rPr>
      </w:pPr>
      <w:r w:rsidRPr="0049429F">
        <w:rPr>
          <w:b/>
        </w:rPr>
        <w:t>Obligaciones del Estado a Cargo del Tesoro</w:t>
      </w:r>
      <w:r>
        <w:rPr>
          <w:b/>
        </w:rPr>
        <w:t>:</w:t>
      </w:r>
    </w:p>
    <w:p w:rsidR="00625719" w:rsidRPr="0049429F" w:rsidRDefault="00625719" w:rsidP="00625719">
      <w:pPr>
        <w:jc w:val="both"/>
        <w:rPr>
          <w:b/>
        </w:rPr>
      </w:pPr>
    </w:p>
    <w:p w:rsidR="00625719" w:rsidRDefault="00625719" w:rsidP="00625719">
      <w:pPr>
        <w:jc w:val="both"/>
      </w:pPr>
      <w:r w:rsidRPr="00D108FD">
        <w:t xml:space="preserve">Las Obligaciones </w:t>
      </w:r>
      <w:r>
        <w:t xml:space="preserve">del Estado a Cargo del Tesoro </w:t>
      </w:r>
      <w:r w:rsidRPr="00D108FD">
        <w:t xml:space="preserve">es una entidad virtual a través de la cual se ejecuta el presupuesto bajo cinco rubros, que en su totalidad tuvieron un presupuesto </w:t>
      </w:r>
      <w:r>
        <w:t xml:space="preserve">aprobado </w:t>
      </w:r>
      <w:r w:rsidRPr="00D108FD">
        <w:t xml:space="preserve">de </w:t>
      </w:r>
      <w:r>
        <w:t>Q</w:t>
      </w:r>
      <w:r w:rsidR="00D91F78">
        <w:t>.</w:t>
      </w:r>
      <w:r w:rsidRPr="00D108FD">
        <w:t>2</w:t>
      </w:r>
      <w:r>
        <w:t>8</w:t>
      </w:r>
      <w:r w:rsidRPr="00D108FD">
        <w:t>,</w:t>
      </w:r>
      <w:r>
        <w:t>205.2</w:t>
      </w:r>
      <w:r w:rsidRPr="00D108FD">
        <w:t xml:space="preserve"> millones y una ejecución presupuestaria de </w:t>
      </w:r>
      <w:r>
        <w:t>Q</w:t>
      </w:r>
      <w:r w:rsidR="00D91F78">
        <w:t>.</w:t>
      </w:r>
      <w:r w:rsidRPr="00D108FD">
        <w:t>2</w:t>
      </w:r>
      <w:r>
        <w:t>6</w:t>
      </w:r>
      <w:r w:rsidRPr="00D108FD">
        <w:t>,</w:t>
      </w:r>
      <w:r>
        <w:t>797.7</w:t>
      </w:r>
      <w:r w:rsidRPr="00D108FD">
        <w:t xml:space="preserve"> millones equivalentes al 95.</w:t>
      </w:r>
      <w:r>
        <w:t>0</w:t>
      </w:r>
      <w:r w:rsidRPr="00D108FD">
        <w:t>%, para lo cual a continuación se detallan los diferentes rubros bajo sub programas y actividades.</w:t>
      </w:r>
    </w:p>
    <w:p w:rsidR="00625719" w:rsidRDefault="00625719" w:rsidP="00625719">
      <w:pPr>
        <w:jc w:val="both"/>
        <w:rPr>
          <w:b/>
        </w:rPr>
      </w:pPr>
      <w:r w:rsidRPr="00D108FD">
        <w:rPr>
          <w:b/>
        </w:rPr>
        <w:lastRenderedPageBreak/>
        <w:t>Aportes Institucionales</w:t>
      </w:r>
    </w:p>
    <w:p w:rsidR="00625719" w:rsidRPr="00ED01F4" w:rsidRDefault="00625719" w:rsidP="00625719">
      <w:pPr>
        <w:jc w:val="both"/>
        <w:rPr>
          <w:b/>
          <w:lang w:val="es-GT"/>
        </w:rPr>
      </w:pPr>
    </w:p>
    <w:p w:rsidR="00625719" w:rsidRPr="00D108FD" w:rsidRDefault="00625719" w:rsidP="00625719">
      <w:pPr>
        <w:jc w:val="both"/>
      </w:pPr>
      <w:r w:rsidRPr="00D108FD">
        <w:t>Este subprograma tuvo un presupuesto</w:t>
      </w:r>
      <w:r>
        <w:t xml:space="preserve"> aprobado</w:t>
      </w:r>
      <w:r w:rsidRPr="00D108FD">
        <w:t xml:space="preserve"> de </w:t>
      </w:r>
      <w:r>
        <w:t>Q</w:t>
      </w:r>
      <w:r w:rsidR="00D91F78">
        <w:t>.</w:t>
      </w:r>
      <w:r w:rsidRPr="00D108FD">
        <w:t>12,</w:t>
      </w:r>
      <w:r>
        <w:t>267.5</w:t>
      </w:r>
      <w:r w:rsidRPr="00D108FD">
        <w:t xml:space="preserve"> millones y una ejecución de </w:t>
      </w:r>
      <w:r>
        <w:t>Q</w:t>
      </w:r>
      <w:r w:rsidR="00D91F78">
        <w:t>.</w:t>
      </w:r>
      <w:r w:rsidRPr="00D108FD">
        <w:t>11,6</w:t>
      </w:r>
      <w:r>
        <w:t>81.0</w:t>
      </w:r>
      <w:r w:rsidRPr="00D108FD">
        <w:t xml:space="preserve"> millones equivalente al 95.</w:t>
      </w:r>
      <w:r>
        <w:t>2</w:t>
      </w:r>
      <w:r w:rsidRPr="00D108FD">
        <w:t xml:space="preserve">%, </w:t>
      </w:r>
      <w:r>
        <w:t xml:space="preserve">ejecutados </w:t>
      </w:r>
      <w:r w:rsidRPr="00D108FD">
        <w:t xml:space="preserve">bajo las </w:t>
      </w:r>
      <w:r>
        <w:t>siguiente funciones:</w:t>
      </w:r>
      <w:r w:rsidRPr="00D108FD">
        <w:t xml:space="preserve"> </w:t>
      </w:r>
      <w:r>
        <w:t xml:space="preserve">Administración </w:t>
      </w:r>
      <w:r w:rsidRPr="00D108FD">
        <w:t xml:space="preserve">de </w:t>
      </w:r>
      <w:r>
        <w:t>J</w:t>
      </w:r>
      <w:r w:rsidRPr="00D108FD">
        <w:t xml:space="preserve">usticia con </w:t>
      </w:r>
      <w:r>
        <w:t>Q</w:t>
      </w:r>
      <w:r w:rsidR="00D91F78">
        <w:t>.</w:t>
      </w:r>
      <w:r w:rsidRPr="00D108FD">
        <w:t>4,</w:t>
      </w:r>
      <w:r>
        <w:t>121.4</w:t>
      </w:r>
      <w:r w:rsidRPr="00D108FD">
        <w:t xml:space="preserve"> millones, Educación</w:t>
      </w:r>
      <w:r>
        <w:t xml:space="preserve"> Universitaria y Superior con</w:t>
      </w:r>
      <w:r w:rsidRPr="00D108FD">
        <w:t xml:space="preserve">  </w:t>
      </w:r>
      <w:r>
        <w:t>Q</w:t>
      </w:r>
      <w:r w:rsidR="00D91F78">
        <w:t>.</w:t>
      </w:r>
      <w:r w:rsidRPr="00D108FD">
        <w:t>2,1</w:t>
      </w:r>
      <w:r>
        <w:t>68.7</w:t>
      </w:r>
      <w:r w:rsidRPr="00D108FD">
        <w:t xml:space="preserve"> millones, Administración Fiscal </w:t>
      </w:r>
      <w:r>
        <w:t>con</w:t>
      </w:r>
      <w:r w:rsidRPr="00D108FD">
        <w:t xml:space="preserve"> </w:t>
      </w:r>
      <w:r>
        <w:t>Q</w:t>
      </w:r>
      <w:r w:rsidR="00D91F78">
        <w:t>.</w:t>
      </w:r>
      <w:r w:rsidRPr="00D108FD">
        <w:t>1,</w:t>
      </w:r>
      <w:r>
        <w:t>378.1</w:t>
      </w:r>
      <w:r w:rsidRPr="00D108FD">
        <w:t xml:space="preserve"> millones, </w:t>
      </w:r>
      <w:r>
        <w:t>Servicios Generales con Q</w:t>
      </w:r>
      <w:r w:rsidR="00D91F78">
        <w:t>.</w:t>
      </w:r>
      <w:r>
        <w:t>956.6, Enfermedad, Funcionamiento Corporal  y Discapacidad con Q</w:t>
      </w:r>
      <w:r w:rsidR="00D91F78">
        <w:t>.</w:t>
      </w:r>
      <w:r>
        <w:t>816.9 millones, la función Administración Legislativa, Ejecutiva y Asuntos Exteriores con Q</w:t>
      </w:r>
      <w:r w:rsidR="00D91F78">
        <w:t>.</w:t>
      </w:r>
      <w:r>
        <w:t>613.0, en tanto que el resto de funciones reportan una ejecución menor a los Q</w:t>
      </w:r>
      <w:r w:rsidR="00D91F78">
        <w:t>.</w:t>
      </w:r>
      <w:r>
        <w:t>451.1 millones de la función Servicios Deportivos y de Recreación</w:t>
      </w:r>
      <w:r w:rsidRPr="00D108FD">
        <w:t>, tal y como se muestra en el cuadro siguiente</w:t>
      </w:r>
      <w:r>
        <w:t>:</w:t>
      </w:r>
    </w:p>
    <w:p w:rsidR="00625719" w:rsidRPr="00D108FD" w:rsidRDefault="00625719" w:rsidP="00625719">
      <w:pPr>
        <w:jc w:val="both"/>
      </w:pPr>
    </w:p>
    <w:tbl>
      <w:tblPr>
        <w:tblW w:w="9346" w:type="dxa"/>
        <w:tblInd w:w="80" w:type="dxa"/>
        <w:tblCellMar>
          <w:left w:w="70" w:type="dxa"/>
          <w:right w:w="70" w:type="dxa"/>
        </w:tblCellMar>
        <w:tblLook w:val="04A0" w:firstRow="1" w:lastRow="0" w:firstColumn="1" w:lastColumn="0" w:noHBand="0" w:noVBand="1"/>
      </w:tblPr>
      <w:tblGrid>
        <w:gridCol w:w="5235"/>
        <w:gridCol w:w="1134"/>
        <w:gridCol w:w="1134"/>
        <w:gridCol w:w="992"/>
        <w:gridCol w:w="851"/>
      </w:tblGrid>
      <w:tr w:rsidR="00625719" w:rsidRPr="00A63234" w:rsidTr="00E436B5">
        <w:trPr>
          <w:trHeight w:val="300"/>
        </w:trPr>
        <w:tc>
          <w:tcPr>
            <w:tcW w:w="5235" w:type="dxa"/>
            <w:tcBorders>
              <w:top w:val="single" w:sz="8" w:space="0" w:color="auto"/>
              <w:left w:val="single" w:sz="8" w:space="0" w:color="auto"/>
              <w:bottom w:val="single" w:sz="4" w:space="0" w:color="auto"/>
              <w:right w:val="single" w:sz="4" w:space="0" w:color="auto"/>
            </w:tcBorders>
            <w:shd w:val="clear" w:color="000000" w:fill="8DB4E2"/>
            <w:noWrap/>
            <w:hideMark/>
          </w:tcPr>
          <w:p w:rsidR="00625719" w:rsidRPr="00A63234" w:rsidRDefault="00625719" w:rsidP="00F161D7">
            <w:pPr>
              <w:jc w:val="center"/>
              <w:rPr>
                <w:b/>
                <w:bCs/>
                <w:color w:val="000000"/>
                <w:sz w:val="16"/>
                <w:szCs w:val="22"/>
                <w:lang w:val="es-GT" w:eastAsia="es-GT"/>
              </w:rPr>
            </w:pPr>
            <w:r w:rsidRPr="00A63234">
              <w:rPr>
                <w:b/>
                <w:bCs/>
                <w:color w:val="000000"/>
                <w:sz w:val="16"/>
                <w:szCs w:val="22"/>
                <w:lang w:val="es-GT" w:eastAsia="es-GT"/>
              </w:rPr>
              <w:t>DESCRIPCION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25719" w:rsidRPr="00A63234" w:rsidRDefault="00625719" w:rsidP="00F161D7">
            <w:pPr>
              <w:jc w:val="center"/>
              <w:rPr>
                <w:b/>
                <w:bCs/>
                <w:color w:val="000000"/>
                <w:sz w:val="16"/>
                <w:szCs w:val="22"/>
                <w:lang w:val="es-GT" w:eastAsia="es-GT"/>
              </w:rPr>
            </w:pPr>
            <w:r w:rsidRPr="00A63234">
              <w:rPr>
                <w:b/>
                <w:bCs/>
                <w:color w:val="000000"/>
                <w:sz w:val="16"/>
                <w:szCs w:val="22"/>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25719" w:rsidRPr="00A63234" w:rsidRDefault="00625719" w:rsidP="00F161D7">
            <w:pPr>
              <w:jc w:val="center"/>
              <w:rPr>
                <w:b/>
                <w:bCs/>
                <w:color w:val="000000"/>
                <w:sz w:val="16"/>
                <w:szCs w:val="22"/>
                <w:lang w:val="es-GT" w:eastAsia="es-GT"/>
              </w:rPr>
            </w:pPr>
            <w:r w:rsidRPr="00A63234">
              <w:rPr>
                <w:b/>
                <w:bCs/>
                <w:color w:val="000000"/>
                <w:sz w:val="16"/>
                <w:szCs w:val="22"/>
                <w:lang w:val="es-GT" w:eastAsia="es-GT"/>
              </w:rPr>
              <w:t>Ejecución</w:t>
            </w:r>
          </w:p>
        </w:tc>
        <w:tc>
          <w:tcPr>
            <w:tcW w:w="992" w:type="dxa"/>
            <w:tcBorders>
              <w:top w:val="single" w:sz="8" w:space="0" w:color="auto"/>
              <w:left w:val="nil"/>
              <w:bottom w:val="single" w:sz="4" w:space="0" w:color="auto"/>
              <w:right w:val="single" w:sz="4" w:space="0" w:color="auto"/>
            </w:tcBorders>
            <w:shd w:val="clear" w:color="000000" w:fill="8DB4E2"/>
            <w:noWrap/>
            <w:vAlign w:val="center"/>
            <w:hideMark/>
          </w:tcPr>
          <w:p w:rsidR="00625719" w:rsidRPr="00A63234" w:rsidRDefault="00625719" w:rsidP="00F161D7">
            <w:pPr>
              <w:jc w:val="center"/>
              <w:rPr>
                <w:b/>
                <w:bCs/>
                <w:color w:val="000000"/>
                <w:sz w:val="16"/>
                <w:szCs w:val="22"/>
                <w:lang w:val="es-GT" w:eastAsia="es-GT"/>
              </w:rPr>
            </w:pPr>
            <w:r w:rsidRPr="00A63234">
              <w:rPr>
                <w:b/>
                <w:bCs/>
                <w:color w:val="000000"/>
                <w:sz w:val="16"/>
                <w:szCs w:val="22"/>
                <w:lang w:val="es-GT" w:eastAsia="es-GT"/>
              </w:rPr>
              <w:t>Diferencia</w:t>
            </w:r>
          </w:p>
        </w:tc>
        <w:tc>
          <w:tcPr>
            <w:tcW w:w="851" w:type="dxa"/>
            <w:tcBorders>
              <w:top w:val="single" w:sz="8" w:space="0" w:color="auto"/>
              <w:left w:val="nil"/>
              <w:bottom w:val="single" w:sz="4" w:space="0" w:color="auto"/>
              <w:right w:val="single" w:sz="8" w:space="0" w:color="auto"/>
            </w:tcBorders>
            <w:shd w:val="clear" w:color="000000" w:fill="8DB4E2"/>
            <w:noWrap/>
            <w:vAlign w:val="center"/>
            <w:hideMark/>
          </w:tcPr>
          <w:p w:rsidR="00625719" w:rsidRPr="00A63234" w:rsidRDefault="00625719" w:rsidP="00F161D7">
            <w:pPr>
              <w:jc w:val="center"/>
              <w:rPr>
                <w:b/>
                <w:bCs/>
                <w:color w:val="000000"/>
                <w:sz w:val="16"/>
                <w:szCs w:val="22"/>
                <w:lang w:val="es-GT" w:eastAsia="es-GT"/>
              </w:rPr>
            </w:pPr>
            <w:r w:rsidRPr="00A63234">
              <w:rPr>
                <w:b/>
                <w:bCs/>
                <w:color w:val="000000"/>
                <w:sz w:val="16"/>
                <w:szCs w:val="22"/>
                <w:lang w:val="es-GT" w:eastAsia="es-GT"/>
              </w:rPr>
              <w:t>% Ejec</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rPr>
                <w:b/>
                <w:bCs/>
                <w:color w:val="000000"/>
                <w:sz w:val="16"/>
                <w:szCs w:val="18"/>
                <w:lang w:val="es-GT" w:eastAsia="es-GT"/>
              </w:rPr>
            </w:pPr>
            <w:r w:rsidRPr="00A63234">
              <w:rPr>
                <w:b/>
                <w:bCs/>
                <w:color w:val="000000"/>
                <w:sz w:val="16"/>
                <w:szCs w:val="18"/>
                <w:lang w:val="es-GT" w:eastAsia="es-GT"/>
              </w:rPr>
              <w:t>APORTES INSTITUCIONALES</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b/>
                <w:bCs/>
                <w:color w:val="000000"/>
                <w:sz w:val="16"/>
                <w:szCs w:val="18"/>
                <w:lang w:val="es-GT" w:eastAsia="es-GT"/>
              </w:rPr>
            </w:pPr>
            <w:r w:rsidRPr="00A63234">
              <w:rPr>
                <w:b/>
                <w:bCs/>
                <w:color w:val="000000"/>
                <w:sz w:val="16"/>
                <w:szCs w:val="18"/>
                <w:lang w:val="es-GT" w:eastAsia="es-GT"/>
              </w:rPr>
              <w:t>12,267.5</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b/>
                <w:bCs/>
                <w:color w:val="000000"/>
                <w:sz w:val="16"/>
                <w:szCs w:val="18"/>
                <w:lang w:val="es-GT" w:eastAsia="es-GT"/>
              </w:rPr>
            </w:pPr>
            <w:r w:rsidRPr="00A63234">
              <w:rPr>
                <w:b/>
                <w:bCs/>
                <w:color w:val="000000"/>
                <w:sz w:val="16"/>
                <w:szCs w:val="18"/>
                <w:lang w:val="es-GT" w:eastAsia="es-GT"/>
              </w:rPr>
              <w:t>11,681.0</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b/>
                <w:bCs/>
                <w:color w:val="000000"/>
                <w:sz w:val="16"/>
                <w:szCs w:val="18"/>
                <w:lang w:val="es-GT" w:eastAsia="es-GT"/>
              </w:rPr>
            </w:pPr>
            <w:r w:rsidRPr="00A63234">
              <w:rPr>
                <w:b/>
                <w:bCs/>
                <w:color w:val="000000"/>
                <w:sz w:val="16"/>
                <w:szCs w:val="18"/>
                <w:lang w:val="es-GT" w:eastAsia="es-GT"/>
              </w:rPr>
              <w:t>586.52</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b/>
                <w:bCs/>
                <w:color w:val="000000"/>
                <w:sz w:val="16"/>
                <w:szCs w:val="18"/>
                <w:lang w:val="es-GT" w:eastAsia="es-GT"/>
              </w:rPr>
            </w:pPr>
            <w:r w:rsidRPr="00A63234">
              <w:rPr>
                <w:b/>
                <w:bCs/>
                <w:color w:val="000000"/>
                <w:sz w:val="16"/>
                <w:szCs w:val="18"/>
                <w:lang w:val="es-GT" w:eastAsia="es-GT"/>
              </w:rPr>
              <w:t>95.2%</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Administración de Justicia</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4,249.1</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4,121.4</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127.77</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97.0%</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Educación Universitaria o Superior</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1,952.0</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2,168.7</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-216.72</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111.1%</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Administración Fiscal, Monetaria y Servicios de Fiscalización</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1,750.7</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1,378.1</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372.62</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78.7%</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Servicios Públicos Generales</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964.2</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956.6</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7.59</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99.2%</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Enfermedad, Funcionamiento Corporal y Discapacidad</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818.0</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816.9</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1.09</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99.9%</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Administración Legislativa, Ejecutiva y Asuntos Exteriores</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715.4</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613.0</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102.40</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85.7%</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Servicios Deportivos y de Recreación</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468.7</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451.1</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17.53</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96.3%</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Defensoría Pública Penal y de los Derechos Humanos</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271.1</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321.3</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-50.27</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118.5%</w:t>
            </w:r>
          </w:p>
        </w:tc>
      </w:tr>
      <w:tr w:rsidR="00625719" w:rsidRPr="00A63234" w:rsidTr="00E436B5">
        <w:trPr>
          <w:trHeight w:val="480"/>
        </w:trPr>
        <w:tc>
          <w:tcPr>
            <w:tcW w:w="5235" w:type="dxa"/>
            <w:tcBorders>
              <w:top w:val="nil"/>
              <w:left w:val="single" w:sz="8" w:space="0" w:color="auto"/>
              <w:bottom w:val="nil"/>
              <w:right w:val="single" w:sz="4" w:space="0" w:color="auto"/>
            </w:tcBorders>
            <w:shd w:val="clear" w:color="000000" w:fill="FFFFFF"/>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Servicios de Prevención y Control de Incendios, y Servicios de Rescate y Auxilio</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530.5</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253.4</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277.05</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47.8%</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Desarrollo Comunitario</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155.7</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210.2</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-54.44</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135.0%</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Transporte</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190.0</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199.0</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-9.00</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104.7%</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Otras Actividades Económicas y Financieras</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110.1</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110.1</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0.05</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100.0%</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Asuntos Económicos, Comerciales y Laborales en General</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47.0</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46.7</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0.27</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99.4%</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Actividades Deportivas, Recreativas, Cultura y Religión</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32.0</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27.8</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4.21</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86.9%</w:t>
            </w:r>
          </w:p>
        </w:tc>
      </w:tr>
      <w:tr w:rsidR="00625719" w:rsidRPr="00A63234" w:rsidTr="00E436B5">
        <w:trPr>
          <w:trHeight w:val="300"/>
        </w:trPr>
        <w:tc>
          <w:tcPr>
            <w:tcW w:w="5235" w:type="dxa"/>
            <w:tcBorders>
              <w:top w:val="nil"/>
              <w:left w:val="single" w:sz="8" w:space="0" w:color="auto"/>
              <w:bottom w:val="nil"/>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Atención a Desastres y Gestión de Riesgos</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8.0</w:t>
            </w:r>
          </w:p>
        </w:tc>
        <w:tc>
          <w:tcPr>
            <w:tcW w:w="1134"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6.7</w:t>
            </w:r>
          </w:p>
        </w:tc>
        <w:tc>
          <w:tcPr>
            <w:tcW w:w="992" w:type="dxa"/>
            <w:tcBorders>
              <w:top w:val="nil"/>
              <w:left w:val="nil"/>
              <w:bottom w:val="nil"/>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1.35</w:t>
            </w:r>
          </w:p>
        </w:tc>
        <w:tc>
          <w:tcPr>
            <w:tcW w:w="851" w:type="dxa"/>
            <w:tcBorders>
              <w:top w:val="nil"/>
              <w:left w:val="nil"/>
              <w:bottom w:val="nil"/>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83.1%</w:t>
            </w:r>
          </w:p>
        </w:tc>
      </w:tr>
      <w:tr w:rsidR="00625719" w:rsidRPr="00A63234" w:rsidTr="00E436B5">
        <w:trPr>
          <w:trHeight w:val="315"/>
        </w:trPr>
        <w:tc>
          <w:tcPr>
            <w:tcW w:w="5235" w:type="dxa"/>
            <w:tcBorders>
              <w:top w:val="nil"/>
              <w:left w:val="single" w:sz="8" w:space="0" w:color="auto"/>
              <w:bottom w:val="single" w:sz="8" w:space="0" w:color="auto"/>
              <w:right w:val="single" w:sz="4" w:space="0" w:color="auto"/>
            </w:tcBorders>
            <w:shd w:val="clear" w:color="000000" w:fill="FFFFFF"/>
            <w:noWrap/>
            <w:hideMark/>
          </w:tcPr>
          <w:p w:rsidR="00625719" w:rsidRPr="00A63234" w:rsidRDefault="00625719" w:rsidP="00F161D7">
            <w:pPr>
              <w:ind w:firstLineChars="200" w:firstLine="320"/>
              <w:rPr>
                <w:color w:val="000000"/>
                <w:sz w:val="16"/>
                <w:szCs w:val="18"/>
                <w:lang w:val="es-GT" w:eastAsia="es-GT"/>
              </w:rPr>
            </w:pPr>
            <w:r w:rsidRPr="00A63234">
              <w:rPr>
                <w:color w:val="000000"/>
                <w:sz w:val="16"/>
                <w:szCs w:val="18"/>
                <w:lang w:val="es-GT" w:eastAsia="es-GT"/>
              </w:rPr>
              <w:t>Asuntos económicos</w:t>
            </w:r>
          </w:p>
        </w:tc>
        <w:tc>
          <w:tcPr>
            <w:tcW w:w="1134" w:type="dxa"/>
            <w:tcBorders>
              <w:top w:val="nil"/>
              <w:left w:val="single" w:sz="4" w:space="0" w:color="auto"/>
              <w:bottom w:val="single" w:sz="8" w:space="0" w:color="auto"/>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5.0</w:t>
            </w:r>
          </w:p>
        </w:tc>
        <w:tc>
          <w:tcPr>
            <w:tcW w:w="1134" w:type="dxa"/>
            <w:tcBorders>
              <w:top w:val="nil"/>
              <w:left w:val="nil"/>
              <w:bottom w:val="single" w:sz="8" w:space="0" w:color="auto"/>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0.0</w:t>
            </w:r>
          </w:p>
        </w:tc>
        <w:tc>
          <w:tcPr>
            <w:tcW w:w="992" w:type="dxa"/>
            <w:tcBorders>
              <w:top w:val="nil"/>
              <w:left w:val="nil"/>
              <w:bottom w:val="single" w:sz="8" w:space="0" w:color="auto"/>
              <w:right w:val="single" w:sz="4"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5.00</w:t>
            </w:r>
          </w:p>
        </w:tc>
        <w:tc>
          <w:tcPr>
            <w:tcW w:w="851" w:type="dxa"/>
            <w:tcBorders>
              <w:top w:val="nil"/>
              <w:left w:val="nil"/>
              <w:bottom w:val="single" w:sz="8" w:space="0" w:color="auto"/>
              <w:right w:val="single" w:sz="8" w:space="0" w:color="auto"/>
            </w:tcBorders>
            <w:shd w:val="clear" w:color="000000" w:fill="FFFFFF"/>
            <w:noWrap/>
            <w:vAlign w:val="center"/>
            <w:hideMark/>
          </w:tcPr>
          <w:p w:rsidR="00625719" w:rsidRPr="00A63234" w:rsidRDefault="00625719" w:rsidP="00F161D7">
            <w:pPr>
              <w:jc w:val="right"/>
              <w:rPr>
                <w:color w:val="000000"/>
                <w:sz w:val="16"/>
                <w:szCs w:val="18"/>
                <w:lang w:val="es-GT" w:eastAsia="es-GT"/>
              </w:rPr>
            </w:pPr>
            <w:r w:rsidRPr="00A63234">
              <w:rPr>
                <w:color w:val="000000"/>
                <w:sz w:val="16"/>
                <w:szCs w:val="18"/>
                <w:lang w:val="es-GT" w:eastAsia="es-GT"/>
              </w:rPr>
              <w:t>0.0%</w:t>
            </w:r>
          </w:p>
        </w:tc>
      </w:tr>
    </w:tbl>
    <w:p w:rsidR="00625719" w:rsidRPr="004E678D" w:rsidRDefault="00625719" w:rsidP="00625719">
      <w:pPr>
        <w:jc w:val="both"/>
        <w:rPr>
          <w:sz w:val="18"/>
        </w:rPr>
      </w:pPr>
      <w:r w:rsidRPr="004E678D">
        <w:rPr>
          <w:sz w:val="18"/>
        </w:rPr>
        <w:t>Fuente: Ministerio de Finanzas Públicas</w:t>
      </w:r>
      <w:r>
        <w:rPr>
          <w:sz w:val="18"/>
        </w:rPr>
        <w:t>.</w:t>
      </w:r>
    </w:p>
    <w:p w:rsidR="00625719" w:rsidRPr="00D108FD" w:rsidRDefault="00625719" w:rsidP="00625719">
      <w:pPr>
        <w:jc w:val="both"/>
      </w:pPr>
    </w:p>
    <w:p w:rsidR="00625719" w:rsidRPr="00D108FD" w:rsidRDefault="00625719" w:rsidP="00625719">
      <w:pPr>
        <w:jc w:val="both"/>
      </w:pPr>
    </w:p>
    <w:p w:rsidR="00625719" w:rsidRDefault="00625719" w:rsidP="00625719">
      <w:pPr>
        <w:jc w:val="both"/>
        <w:rPr>
          <w:b/>
        </w:rPr>
      </w:pPr>
      <w:r w:rsidRPr="0049429F">
        <w:rPr>
          <w:b/>
        </w:rPr>
        <w:t>Aportes a Consejos Departamentales de Desarrollo</w:t>
      </w:r>
    </w:p>
    <w:p w:rsidR="00625719" w:rsidRPr="0049429F" w:rsidRDefault="00625719" w:rsidP="00625719">
      <w:pPr>
        <w:jc w:val="both"/>
        <w:rPr>
          <w:b/>
        </w:rPr>
      </w:pPr>
    </w:p>
    <w:p w:rsidR="00625719" w:rsidRDefault="00625719" w:rsidP="00625719">
      <w:pPr>
        <w:jc w:val="both"/>
      </w:pPr>
      <w:r>
        <w:t>Los aportes reportan un presupuesto aprobado de Q</w:t>
      </w:r>
      <w:r w:rsidR="00D91F78">
        <w:t>.</w:t>
      </w:r>
      <w:r>
        <w:t>2,637.1 millones y se ejecutaron Q</w:t>
      </w:r>
      <w:r w:rsidR="00D91F78">
        <w:t>.</w:t>
      </w:r>
      <w:r>
        <w:t xml:space="preserve">1,834.1 millones, equivalentes al 69.6%.  </w:t>
      </w:r>
      <w:r w:rsidRPr="00D108FD">
        <w:t xml:space="preserve">Estos se ejecutaron bajo </w:t>
      </w:r>
      <w:r>
        <w:t>las siguientes funciones</w:t>
      </w:r>
      <w:r w:rsidRPr="00D108FD">
        <w:t>, entre las cuales se destacan por el monto de recursos asignados las siguientes</w:t>
      </w:r>
      <w:r>
        <w:t>, así</w:t>
      </w:r>
      <w:r w:rsidRPr="00D108FD">
        <w:t xml:space="preserve">: Abastecimiento de Agua por </w:t>
      </w:r>
      <w:r>
        <w:t>Q</w:t>
      </w:r>
      <w:r w:rsidR="00D91F78">
        <w:t>.</w:t>
      </w:r>
      <w:r>
        <w:t>550.2</w:t>
      </w:r>
      <w:r w:rsidRPr="00D108FD">
        <w:t xml:space="preserve"> millones, Ordenación de Aguas Residuales por </w:t>
      </w:r>
      <w:r>
        <w:t>Q</w:t>
      </w:r>
      <w:r w:rsidR="00D91F78">
        <w:t>.</w:t>
      </w:r>
      <w:r>
        <w:t>357.8</w:t>
      </w:r>
      <w:r w:rsidRPr="00D108FD">
        <w:t xml:space="preserve"> millones, Educación </w:t>
      </w:r>
      <w:r>
        <w:t xml:space="preserve">Preprimaria y </w:t>
      </w:r>
      <w:r w:rsidRPr="00D108FD">
        <w:t xml:space="preserve">Primaria </w:t>
      </w:r>
      <w:r>
        <w:t>con</w:t>
      </w:r>
      <w:r w:rsidRPr="00D108FD">
        <w:t xml:space="preserve"> </w:t>
      </w:r>
      <w:r>
        <w:t>Q</w:t>
      </w:r>
      <w:r w:rsidRPr="00D108FD">
        <w:t>42</w:t>
      </w:r>
      <w:r>
        <w:t>2.5</w:t>
      </w:r>
      <w:r w:rsidRPr="00D108FD">
        <w:t xml:space="preserve"> millones, Educación </w:t>
      </w:r>
      <w:r>
        <w:t>Media con</w:t>
      </w:r>
      <w:r w:rsidRPr="00D108FD">
        <w:t xml:space="preserve"> </w:t>
      </w:r>
      <w:r>
        <w:t>Q</w:t>
      </w:r>
      <w:r w:rsidR="00D91F78">
        <w:t>.</w:t>
      </w:r>
      <w:r w:rsidRPr="00D108FD">
        <w:t>1</w:t>
      </w:r>
      <w:r>
        <w:t>71</w:t>
      </w:r>
      <w:r w:rsidRPr="00D108FD">
        <w:t xml:space="preserve">.4 millones, </w:t>
      </w:r>
      <w:r>
        <w:t xml:space="preserve">la función </w:t>
      </w:r>
      <w:r w:rsidRPr="00D108FD">
        <w:t xml:space="preserve">Transporte </w:t>
      </w:r>
      <w:r>
        <w:t>con</w:t>
      </w:r>
      <w:r w:rsidRPr="00D108FD">
        <w:t xml:space="preserve"> </w:t>
      </w:r>
      <w:r>
        <w:t>Q</w:t>
      </w:r>
      <w:r w:rsidR="00D91F78">
        <w:t>.</w:t>
      </w:r>
      <w:r>
        <w:t>101.</w:t>
      </w:r>
      <w:r w:rsidRPr="00D108FD">
        <w:t>7 millones</w:t>
      </w:r>
      <w:r>
        <w:t>.  El resto de las funciones se ejecutaron por debajo de los Q</w:t>
      </w:r>
      <w:r w:rsidR="00D91F78">
        <w:t>.</w:t>
      </w:r>
      <w:r>
        <w:t>49.6 millones ejecutados por la función Desarrollo Comunitario</w:t>
      </w:r>
      <w:r w:rsidRPr="00D108FD">
        <w:t>, lo cual se puede observar en el cuadro que se presenta a continuación</w:t>
      </w:r>
      <w:r>
        <w:t>:</w:t>
      </w:r>
    </w:p>
    <w:p w:rsidR="00625719" w:rsidRDefault="00625719" w:rsidP="00625719">
      <w:pPr>
        <w:jc w:val="both"/>
      </w:pPr>
    </w:p>
    <w:p w:rsidR="00AB2D0A" w:rsidRPr="00D108FD" w:rsidRDefault="00AB2D0A" w:rsidP="00625719">
      <w:pPr>
        <w:jc w:val="both"/>
      </w:pPr>
    </w:p>
    <w:tbl>
      <w:tblPr>
        <w:tblW w:w="9346" w:type="dxa"/>
        <w:tblInd w:w="80" w:type="dxa"/>
        <w:tblCellMar>
          <w:left w:w="70" w:type="dxa"/>
          <w:right w:w="70" w:type="dxa"/>
        </w:tblCellMar>
        <w:tblLook w:val="04A0" w:firstRow="1" w:lastRow="0" w:firstColumn="1" w:lastColumn="0" w:noHBand="0" w:noVBand="1"/>
      </w:tblPr>
      <w:tblGrid>
        <w:gridCol w:w="5054"/>
        <w:gridCol w:w="1173"/>
        <w:gridCol w:w="1134"/>
        <w:gridCol w:w="993"/>
        <w:gridCol w:w="992"/>
      </w:tblGrid>
      <w:tr w:rsidR="00625719" w:rsidRPr="00A77C3D" w:rsidTr="00E436B5">
        <w:trPr>
          <w:trHeight w:val="300"/>
        </w:trPr>
        <w:tc>
          <w:tcPr>
            <w:tcW w:w="5054"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25719" w:rsidRPr="00A77C3D" w:rsidRDefault="00625719" w:rsidP="00F161D7">
            <w:pPr>
              <w:jc w:val="center"/>
              <w:rPr>
                <w:b/>
                <w:bCs/>
                <w:color w:val="000000"/>
                <w:sz w:val="16"/>
                <w:szCs w:val="22"/>
                <w:lang w:val="es-GT" w:eastAsia="es-GT"/>
              </w:rPr>
            </w:pPr>
            <w:r w:rsidRPr="00A77C3D">
              <w:rPr>
                <w:b/>
                <w:bCs/>
                <w:color w:val="000000"/>
                <w:sz w:val="16"/>
                <w:szCs w:val="22"/>
                <w:lang w:val="es-GT" w:eastAsia="es-GT"/>
              </w:rPr>
              <w:t>DESCRIPCION</w:t>
            </w:r>
          </w:p>
        </w:tc>
        <w:tc>
          <w:tcPr>
            <w:tcW w:w="1173" w:type="dxa"/>
            <w:tcBorders>
              <w:top w:val="single" w:sz="8" w:space="0" w:color="auto"/>
              <w:left w:val="nil"/>
              <w:bottom w:val="single" w:sz="4" w:space="0" w:color="auto"/>
              <w:right w:val="single" w:sz="4" w:space="0" w:color="auto"/>
            </w:tcBorders>
            <w:shd w:val="clear" w:color="000000" w:fill="8DB4E2"/>
            <w:noWrap/>
            <w:vAlign w:val="center"/>
            <w:hideMark/>
          </w:tcPr>
          <w:p w:rsidR="00625719" w:rsidRPr="00A77C3D" w:rsidRDefault="00625719" w:rsidP="00F161D7">
            <w:pPr>
              <w:jc w:val="center"/>
              <w:rPr>
                <w:b/>
                <w:bCs/>
                <w:color w:val="000000"/>
                <w:sz w:val="16"/>
                <w:szCs w:val="22"/>
                <w:lang w:val="es-GT" w:eastAsia="es-GT"/>
              </w:rPr>
            </w:pPr>
            <w:r w:rsidRPr="00A77C3D">
              <w:rPr>
                <w:b/>
                <w:bCs/>
                <w:color w:val="000000"/>
                <w:sz w:val="16"/>
                <w:szCs w:val="22"/>
                <w:lang w:val="es-GT" w:eastAsia="es-GT"/>
              </w:rPr>
              <w:t>Asignado</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25719" w:rsidRPr="00A77C3D" w:rsidRDefault="00625719" w:rsidP="00F161D7">
            <w:pPr>
              <w:jc w:val="center"/>
              <w:rPr>
                <w:b/>
                <w:bCs/>
                <w:color w:val="000000"/>
                <w:sz w:val="16"/>
                <w:szCs w:val="22"/>
                <w:lang w:val="es-GT" w:eastAsia="es-GT"/>
              </w:rPr>
            </w:pPr>
            <w:r w:rsidRPr="00A77C3D">
              <w:rPr>
                <w:b/>
                <w:bCs/>
                <w:color w:val="000000"/>
                <w:sz w:val="16"/>
                <w:szCs w:val="22"/>
                <w:lang w:val="es-GT" w:eastAsia="es-GT"/>
              </w:rPr>
              <w:t>Ejecución</w:t>
            </w:r>
          </w:p>
        </w:tc>
        <w:tc>
          <w:tcPr>
            <w:tcW w:w="993" w:type="dxa"/>
            <w:tcBorders>
              <w:top w:val="single" w:sz="8" w:space="0" w:color="auto"/>
              <w:left w:val="nil"/>
              <w:bottom w:val="single" w:sz="4" w:space="0" w:color="auto"/>
              <w:right w:val="single" w:sz="4" w:space="0" w:color="auto"/>
            </w:tcBorders>
            <w:shd w:val="clear" w:color="000000" w:fill="8DB4E2"/>
            <w:noWrap/>
            <w:vAlign w:val="center"/>
            <w:hideMark/>
          </w:tcPr>
          <w:p w:rsidR="00625719" w:rsidRPr="00A77C3D" w:rsidRDefault="00625719" w:rsidP="00F161D7">
            <w:pPr>
              <w:jc w:val="center"/>
              <w:rPr>
                <w:b/>
                <w:bCs/>
                <w:color w:val="000000"/>
                <w:sz w:val="16"/>
                <w:szCs w:val="22"/>
                <w:lang w:val="es-GT" w:eastAsia="es-GT"/>
              </w:rPr>
            </w:pPr>
            <w:r w:rsidRPr="00A77C3D">
              <w:rPr>
                <w:b/>
                <w:bCs/>
                <w:color w:val="000000"/>
                <w:sz w:val="16"/>
                <w:szCs w:val="22"/>
                <w:lang w:val="es-GT" w:eastAsia="es-GT"/>
              </w:rPr>
              <w:t>Diferencia</w:t>
            </w:r>
          </w:p>
        </w:tc>
        <w:tc>
          <w:tcPr>
            <w:tcW w:w="992" w:type="dxa"/>
            <w:tcBorders>
              <w:top w:val="single" w:sz="8" w:space="0" w:color="auto"/>
              <w:left w:val="nil"/>
              <w:bottom w:val="single" w:sz="4" w:space="0" w:color="auto"/>
              <w:right w:val="single" w:sz="8" w:space="0" w:color="auto"/>
            </w:tcBorders>
            <w:shd w:val="clear" w:color="000000" w:fill="8DB4E2"/>
            <w:noWrap/>
            <w:vAlign w:val="center"/>
            <w:hideMark/>
          </w:tcPr>
          <w:p w:rsidR="00625719" w:rsidRPr="00A77C3D" w:rsidRDefault="00625719" w:rsidP="00F161D7">
            <w:pPr>
              <w:jc w:val="center"/>
              <w:rPr>
                <w:b/>
                <w:bCs/>
                <w:color w:val="000000"/>
                <w:sz w:val="16"/>
                <w:szCs w:val="22"/>
                <w:lang w:val="es-GT" w:eastAsia="es-GT"/>
              </w:rPr>
            </w:pPr>
            <w:r w:rsidRPr="00A77C3D">
              <w:rPr>
                <w:b/>
                <w:bCs/>
                <w:color w:val="000000"/>
                <w:sz w:val="16"/>
                <w:szCs w:val="22"/>
                <w:lang w:val="es-GT" w:eastAsia="es-GT"/>
              </w:rPr>
              <w:t>% Ejec</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rPr>
                <w:b/>
                <w:bCs/>
                <w:color w:val="000000"/>
                <w:sz w:val="16"/>
                <w:szCs w:val="18"/>
                <w:lang w:val="es-GT" w:eastAsia="es-GT"/>
              </w:rPr>
            </w:pPr>
            <w:r w:rsidRPr="00A77C3D">
              <w:rPr>
                <w:b/>
                <w:bCs/>
                <w:color w:val="000000"/>
                <w:sz w:val="16"/>
                <w:szCs w:val="18"/>
                <w:lang w:val="es-GT" w:eastAsia="es-GT"/>
              </w:rPr>
              <w:t>APORTE A CONSEJOS DEPARTAMENTALES DE DESARROLLO</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b/>
                <w:bCs/>
                <w:color w:val="000000"/>
                <w:sz w:val="16"/>
                <w:szCs w:val="18"/>
                <w:lang w:val="es-GT" w:eastAsia="es-GT"/>
              </w:rPr>
            </w:pPr>
            <w:r w:rsidRPr="00A77C3D">
              <w:rPr>
                <w:b/>
                <w:bCs/>
                <w:color w:val="000000"/>
                <w:sz w:val="16"/>
                <w:szCs w:val="18"/>
                <w:lang w:val="es-GT" w:eastAsia="es-GT"/>
              </w:rPr>
              <w:t>2,637.1</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b/>
                <w:bCs/>
                <w:color w:val="000000"/>
                <w:sz w:val="16"/>
                <w:szCs w:val="18"/>
                <w:lang w:val="es-GT" w:eastAsia="es-GT"/>
              </w:rPr>
            </w:pPr>
            <w:r w:rsidRPr="00A77C3D">
              <w:rPr>
                <w:b/>
                <w:bCs/>
                <w:color w:val="000000"/>
                <w:sz w:val="16"/>
                <w:szCs w:val="18"/>
                <w:lang w:val="es-GT" w:eastAsia="es-GT"/>
              </w:rPr>
              <w:t>1,834.1</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b/>
                <w:bCs/>
                <w:color w:val="000000"/>
                <w:sz w:val="16"/>
                <w:szCs w:val="18"/>
                <w:lang w:val="es-GT" w:eastAsia="es-GT"/>
              </w:rPr>
            </w:pPr>
            <w:r w:rsidRPr="00A77C3D">
              <w:rPr>
                <w:b/>
                <w:bCs/>
                <w:color w:val="000000"/>
                <w:sz w:val="16"/>
                <w:szCs w:val="18"/>
                <w:lang w:val="es-GT" w:eastAsia="es-GT"/>
              </w:rPr>
              <w:t>802.97</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b/>
                <w:bCs/>
                <w:color w:val="000000"/>
                <w:sz w:val="16"/>
                <w:szCs w:val="18"/>
                <w:lang w:val="es-GT" w:eastAsia="es-GT"/>
              </w:rPr>
            </w:pPr>
            <w:r w:rsidRPr="00A77C3D">
              <w:rPr>
                <w:b/>
                <w:bCs/>
                <w:color w:val="000000"/>
                <w:sz w:val="16"/>
                <w:szCs w:val="18"/>
                <w:lang w:val="es-GT" w:eastAsia="es-GT"/>
              </w:rPr>
              <w:t>69.6%</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Abastecimiento de Agua</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689.2</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550.2</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139.06</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79.8%</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Educación Preprimaria y Primaria</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597.1</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422.5</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174.56</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70.8%</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Ordenación de Aguas Residuales</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756.7</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357.8</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398.87</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47.3%</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Educación Media</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231.6</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171.4</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60.18</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74.0%</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Servicios Hospitalarios</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187.4</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127.3</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60.11</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67.9%</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Transporte</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24.5</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101.7</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-77.21</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415.0%</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Desarrollo Comunitario</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49.6</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49.6</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-0.03</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100.1%</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Educación no Atribuible a Ningún Nivel Escolarizado</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38.7</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20.5</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18.24</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52.9%</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Educación Universitaria o Superior</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18.3</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15.7</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2.62</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85.7%</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Ordenación de Desechos</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31.2</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9.4</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21.89</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29.9%</w:t>
            </w:r>
          </w:p>
        </w:tc>
      </w:tr>
      <w:tr w:rsidR="00625719" w:rsidRPr="00A77C3D" w:rsidTr="00E436B5">
        <w:trPr>
          <w:trHeight w:val="300"/>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Servicios Generales</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7.6</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6.2</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1.43</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81.3%</w:t>
            </w:r>
          </w:p>
        </w:tc>
      </w:tr>
      <w:tr w:rsidR="00625719" w:rsidRPr="00A77C3D" w:rsidTr="00E436B5">
        <w:trPr>
          <w:trHeight w:val="285"/>
        </w:trPr>
        <w:tc>
          <w:tcPr>
            <w:tcW w:w="5054" w:type="dxa"/>
            <w:tcBorders>
              <w:top w:val="nil"/>
              <w:left w:val="single" w:sz="8" w:space="0" w:color="auto"/>
              <w:bottom w:val="nil"/>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Gestión para la Reducción de Riesgos a Desastres</w:t>
            </w:r>
          </w:p>
        </w:tc>
        <w:tc>
          <w:tcPr>
            <w:tcW w:w="117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3.1</w:t>
            </w:r>
          </w:p>
        </w:tc>
        <w:tc>
          <w:tcPr>
            <w:tcW w:w="1134"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1.4</w:t>
            </w:r>
          </w:p>
        </w:tc>
        <w:tc>
          <w:tcPr>
            <w:tcW w:w="993" w:type="dxa"/>
            <w:tcBorders>
              <w:top w:val="nil"/>
              <w:left w:val="nil"/>
              <w:bottom w:val="nil"/>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1.77</w:t>
            </w:r>
          </w:p>
        </w:tc>
        <w:tc>
          <w:tcPr>
            <w:tcW w:w="992" w:type="dxa"/>
            <w:tcBorders>
              <w:top w:val="nil"/>
              <w:left w:val="nil"/>
              <w:bottom w:val="nil"/>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43.3%</w:t>
            </w:r>
          </w:p>
        </w:tc>
      </w:tr>
      <w:tr w:rsidR="00625719" w:rsidRPr="00A77C3D" w:rsidTr="00E436B5">
        <w:trPr>
          <w:trHeight w:val="315"/>
        </w:trPr>
        <w:tc>
          <w:tcPr>
            <w:tcW w:w="5054" w:type="dxa"/>
            <w:tcBorders>
              <w:top w:val="nil"/>
              <w:left w:val="single" w:sz="8" w:space="0" w:color="auto"/>
              <w:bottom w:val="single" w:sz="8" w:space="0" w:color="auto"/>
              <w:right w:val="single" w:sz="4" w:space="0" w:color="auto"/>
            </w:tcBorders>
            <w:shd w:val="clear" w:color="000000" w:fill="FFFFFF"/>
            <w:noWrap/>
            <w:vAlign w:val="center"/>
            <w:hideMark/>
          </w:tcPr>
          <w:p w:rsidR="00625719" w:rsidRPr="00A77C3D" w:rsidRDefault="00625719" w:rsidP="00F161D7">
            <w:pPr>
              <w:ind w:firstLineChars="100" w:firstLine="160"/>
              <w:rPr>
                <w:color w:val="000000"/>
                <w:sz w:val="16"/>
                <w:szCs w:val="18"/>
                <w:lang w:val="es-GT" w:eastAsia="es-GT"/>
              </w:rPr>
            </w:pPr>
            <w:r w:rsidRPr="00A77C3D">
              <w:rPr>
                <w:color w:val="000000"/>
                <w:sz w:val="16"/>
                <w:szCs w:val="18"/>
                <w:lang w:val="es-GT" w:eastAsia="es-GT"/>
              </w:rPr>
              <w:t>Agricultura, Producción Pecuaria, Silvicultura, Caza y Pesca</w:t>
            </w:r>
          </w:p>
        </w:tc>
        <w:tc>
          <w:tcPr>
            <w:tcW w:w="1173" w:type="dxa"/>
            <w:tcBorders>
              <w:top w:val="nil"/>
              <w:left w:val="single" w:sz="4" w:space="0" w:color="auto"/>
              <w:bottom w:val="single" w:sz="8" w:space="0" w:color="auto"/>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1.9</w:t>
            </w:r>
          </w:p>
        </w:tc>
        <w:tc>
          <w:tcPr>
            <w:tcW w:w="1134" w:type="dxa"/>
            <w:tcBorders>
              <w:top w:val="nil"/>
              <w:left w:val="nil"/>
              <w:bottom w:val="single" w:sz="8" w:space="0" w:color="auto"/>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0.4</w:t>
            </w:r>
          </w:p>
        </w:tc>
        <w:tc>
          <w:tcPr>
            <w:tcW w:w="993" w:type="dxa"/>
            <w:tcBorders>
              <w:top w:val="nil"/>
              <w:left w:val="nil"/>
              <w:bottom w:val="single" w:sz="8" w:space="0" w:color="auto"/>
              <w:right w:val="single" w:sz="4"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1.48</w:t>
            </w:r>
          </w:p>
        </w:tc>
        <w:tc>
          <w:tcPr>
            <w:tcW w:w="992" w:type="dxa"/>
            <w:tcBorders>
              <w:top w:val="nil"/>
              <w:left w:val="nil"/>
              <w:bottom w:val="single" w:sz="8" w:space="0" w:color="auto"/>
              <w:right w:val="single" w:sz="8" w:space="0" w:color="auto"/>
            </w:tcBorders>
            <w:shd w:val="clear" w:color="000000" w:fill="FFFFFF"/>
            <w:noWrap/>
            <w:vAlign w:val="center"/>
            <w:hideMark/>
          </w:tcPr>
          <w:p w:rsidR="00625719" w:rsidRPr="00A77C3D" w:rsidRDefault="00625719" w:rsidP="00F161D7">
            <w:pPr>
              <w:jc w:val="right"/>
              <w:rPr>
                <w:color w:val="000000"/>
                <w:sz w:val="16"/>
                <w:szCs w:val="18"/>
                <w:lang w:val="es-GT" w:eastAsia="es-GT"/>
              </w:rPr>
            </w:pPr>
            <w:r w:rsidRPr="00A77C3D">
              <w:rPr>
                <w:color w:val="000000"/>
                <w:sz w:val="16"/>
                <w:szCs w:val="18"/>
                <w:lang w:val="es-GT" w:eastAsia="es-GT"/>
              </w:rPr>
              <w:t>21.4%</w:t>
            </w:r>
          </w:p>
        </w:tc>
      </w:tr>
    </w:tbl>
    <w:p w:rsidR="00625719" w:rsidRPr="004E678D" w:rsidRDefault="00625719" w:rsidP="00625719">
      <w:pPr>
        <w:jc w:val="both"/>
        <w:rPr>
          <w:sz w:val="18"/>
        </w:rPr>
      </w:pPr>
      <w:r w:rsidRPr="004E678D">
        <w:rPr>
          <w:sz w:val="18"/>
        </w:rPr>
        <w:t>Fuente: Ministerio de Finanzas Públicas</w:t>
      </w:r>
      <w:r>
        <w:rPr>
          <w:sz w:val="18"/>
        </w:rPr>
        <w:t>.</w:t>
      </w:r>
    </w:p>
    <w:p w:rsidR="00625719" w:rsidRDefault="00625719" w:rsidP="00625719">
      <w:pPr>
        <w:jc w:val="both"/>
      </w:pPr>
    </w:p>
    <w:p w:rsidR="00625719" w:rsidRDefault="00625719" w:rsidP="00625719">
      <w:pPr>
        <w:jc w:val="both"/>
      </w:pPr>
      <w:r w:rsidRPr="00D108FD">
        <w:t xml:space="preserve">En cuanto al sub programa Aporte a las Municipalidades, la actividad es la misma en la que el presupuesto asignado tuvo un presupuesto de </w:t>
      </w:r>
      <w:r>
        <w:t>Q</w:t>
      </w:r>
      <w:r w:rsidR="00D91F78">
        <w:t>.</w:t>
      </w:r>
      <w:r>
        <w:t>7</w:t>
      </w:r>
      <w:r w:rsidRPr="00D108FD">
        <w:t>,</w:t>
      </w:r>
      <w:r>
        <w:t>619.9</w:t>
      </w:r>
      <w:r w:rsidRPr="00D108FD">
        <w:t xml:space="preserve"> millones y una ejecución presupuestaria por</w:t>
      </w:r>
      <w:r>
        <w:t xml:space="preserve"> </w:t>
      </w:r>
      <w:r w:rsidRPr="00D108FD">
        <w:t>valor</w:t>
      </w:r>
      <w:r>
        <w:t xml:space="preserve"> de Q</w:t>
      </w:r>
      <w:r w:rsidR="00D91F78">
        <w:t>.</w:t>
      </w:r>
      <w:r>
        <w:t>7,615.0 millones</w:t>
      </w:r>
      <w:r w:rsidRPr="00D108FD">
        <w:t xml:space="preserve">, dando como resultado un </w:t>
      </w:r>
      <w:r>
        <w:t>99.</w:t>
      </w:r>
      <w:r w:rsidR="00D91F78">
        <w:t>9</w:t>
      </w:r>
      <w:r w:rsidRPr="00D108FD">
        <w:t>%.</w:t>
      </w:r>
    </w:p>
    <w:p w:rsidR="00625719" w:rsidRDefault="00625719" w:rsidP="00625719">
      <w:pPr>
        <w:jc w:val="both"/>
      </w:pPr>
    </w:p>
    <w:p w:rsidR="00625719" w:rsidRDefault="00625719" w:rsidP="00625719">
      <w:pPr>
        <w:jc w:val="both"/>
      </w:pPr>
      <w:r w:rsidRPr="00D108FD">
        <w:t>Por otro lado, están l</w:t>
      </w:r>
      <w:r>
        <w:t>o</w:t>
      </w:r>
      <w:r w:rsidRPr="00D108FD">
        <w:t xml:space="preserve">s recursos destinados a las Clases Pasivas </w:t>
      </w:r>
      <w:r>
        <w:t xml:space="preserve">Civiles </w:t>
      </w:r>
      <w:r w:rsidRPr="00D108FD">
        <w:t xml:space="preserve">del Estado, las cuales tuvieron un presupuesto </w:t>
      </w:r>
      <w:r>
        <w:t xml:space="preserve">aprobado </w:t>
      </w:r>
      <w:r w:rsidRPr="00D108FD">
        <w:t xml:space="preserve">de </w:t>
      </w:r>
      <w:r>
        <w:t>Q</w:t>
      </w:r>
      <w:r w:rsidR="00D91F78">
        <w:t>.</w:t>
      </w:r>
      <w:r w:rsidRPr="00D108FD">
        <w:t>5,</w:t>
      </w:r>
      <w:r>
        <w:t>195.7</w:t>
      </w:r>
      <w:r w:rsidRPr="00D108FD">
        <w:t xml:space="preserve"> millones y una ejecución presupuestaria de </w:t>
      </w:r>
      <w:r>
        <w:t>Q</w:t>
      </w:r>
      <w:r w:rsidR="00D91F78">
        <w:t>.</w:t>
      </w:r>
      <w:r w:rsidRPr="00D108FD">
        <w:t>5,</w:t>
      </w:r>
      <w:r>
        <w:t>137.7</w:t>
      </w:r>
      <w:r w:rsidRPr="00D108FD">
        <w:t xml:space="preserve"> millones equivalente al 9</w:t>
      </w:r>
      <w:r>
        <w:t>8</w:t>
      </w:r>
      <w:r w:rsidRPr="00D108FD">
        <w:t>.9%</w:t>
      </w:r>
      <w:r>
        <w:t>.</w:t>
      </w:r>
    </w:p>
    <w:p w:rsidR="00625719" w:rsidRDefault="00625719" w:rsidP="00625719">
      <w:pPr>
        <w:jc w:val="both"/>
        <w:rPr>
          <w:b/>
        </w:rPr>
      </w:pPr>
    </w:p>
    <w:p w:rsidR="00625719" w:rsidRDefault="00625719" w:rsidP="00625719">
      <w:pPr>
        <w:jc w:val="both"/>
      </w:pPr>
      <w:r>
        <w:t>El sub programa denominado Otras Obligaciones reporta un presupuesto aprobado de Q</w:t>
      </w:r>
      <w:r w:rsidR="00D91F78">
        <w:t>.</w:t>
      </w:r>
      <w:r>
        <w:t>485.1 millones, este se ejecutó a través de las funciones</w:t>
      </w:r>
      <w:r w:rsidRPr="00D108FD">
        <w:t xml:space="preserve"> Protección</w:t>
      </w:r>
      <w:r>
        <w:t xml:space="preserve"> de la Diversidad Biológica y del Paisaje con</w:t>
      </w:r>
      <w:r w:rsidRPr="00D108FD">
        <w:t xml:space="preserve"> </w:t>
      </w:r>
      <w:r>
        <w:t>Q</w:t>
      </w:r>
      <w:r w:rsidR="00D91F78">
        <w:t>.</w:t>
      </w:r>
      <w:r>
        <w:t>528.8</w:t>
      </w:r>
      <w:r w:rsidRPr="00D108FD">
        <w:t xml:space="preserve"> </w:t>
      </w:r>
      <w:r w:rsidR="00D91F78">
        <w:t>millones (110.4%)</w:t>
      </w:r>
      <w:r w:rsidRPr="00D108FD">
        <w:t xml:space="preserve"> y </w:t>
      </w:r>
      <w:r>
        <w:t xml:space="preserve">la de Desarrollo Comunitario con </w:t>
      </w:r>
      <w:r w:rsidRPr="00D108FD">
        <w:t>Q</w:t>
      </w:r>
      <w:r w:rsidR="00D91F78">
        <w:t>.</w:t>
      </w:r>
      <w:r w:rsidRPr="00D108FD">
        <w:t>1.</w:t>
      </w:r>
      <w:r>
        <w:t>0</w:t>
      </w:r>
      <w:r w:rsidRPr="00D108FD">
        <w:t xml:space="preserve"> millones</w:t>
      </w:r>
      <w:r w:rsidR="00D91F78">
        <w:t xml:space="preserve"> (16.7%)</w:t>
      </w:r>
      <w:r>
        <w:t>, así:</w:t>
      </w:r>
    </w:p>
    <w:p w:rsidR="00625719" w:rsidRDefault="00625719" w:rsidP="00625719">
      <w:pPr>
        <w:jc w:val="both"/>
      </w:pPr>
    </w:p>
    <w:p w:rsidR="00AB2D0A" w:rsidRDefault="00AB2D0A" w:rsidP="00625719">
      <w:pPr>
        <w:jc w:val="both"/>
      </w:pPr>
    </w:p>
    <w:tbl>
      <w:tblPr>
        <w:tblW w:w="9346" w:type="dxa"/>
        <w:tblInd w:w="80" w:type="dxa"/>
        <w:tblCellMar>
          <w:left w:w="70" w:type="dxa"/>
          <w:right w:w="70" w:type="dxa"/>
        </w:tblCellMar>
        <w:tblLook w:val="04A0" w:firstRow="1" w:lastRow="0" w:firstColumn="1" w:lastColumn="0" w:noHBand="0" w:noVBand="1"/>
      </w:tblPr>
      <w:tblGrid>
        <w:gridCol w:w="4526"/>
        <w:gridCol w:w="1276"/>
        <w:gridCol w:w="1276"/>
        <w:gridCol w:w="1134"/>
        <w:gridCol w:w="1134"/>
      </w:tblGrid>
      <w:tr w:rsidR="00625719" w:rsidRPr="0007325E" w:rsidTr="00E436B5">
        <w:trPr>
          <w:trHeight w:val="300"/>
        </w:trPr>
        <w:tc>
          <w:tcPr>
            <w:tcW w:w="4526" w:type="dxa"/>
            <w:tcBorders>
              <w:top w:val="single" w:sz="8" w:space="0" w:color="auto"/>
              <w:left w:val="single" w:sz="8" w:space="0" w:color="auto"/>
              <w:bottom w:val="single" w:sz="4" w:space="0" w:color="auto"/>
              <w:right w:val="single" w:sz="4" w:space="0" w:color="auto"/>
            </w:tcBorders>
            <w:shd w:val="clear" w:color="000000" w:fill="8DB4E2"/>
            <w:noWrap/>
            <w:vAlign w:val="center"/>
            <w:hideMark/>
          </w:tcPr>
          <w:p w:rsidR="00625719" w:rsidRPr="0007325E" w:rsidRDefault="00625719" w:rsidP="00F161D7">
            <w:pPr>
              <w:jc w:val="center"/>
              <w:rPr>
                <w:b/>
                <w:bCs/>
                <w:color w:val="000000"/>
                <w:sz w:val="16"/>
                <w:szCs w:val="22"/>
                <w:lang w:val="es-GT" w:eastAsia="es-GT"/>
              </w:rPr>
            </w:pPr>
            <w:r w:rsidRPr="0007325E">
              <w:rPr>
                <w:b/>
                <w:bCs/>
                <w:color w:val="000000"/>
                <w:sz w:val="16"/>
                <w:szCs w:val="22"/>
                <w:lang w:val="es-GT" w:eastAsia="es-GT"/>
              </w:rPr>
              <w:t>DESCRIPCION</w:t>
            </w:r>
          </w:p>
        </w:tc>
        <w:tc>
          <w:tcPr>
            <w:tcW w:w="1276" w:type="dxa"/>
            <w:tcBorders>
              <w:top w:val="single" w:sz="8" w:space="0" w:color="auto"/>
              <w:left w:val="nil"/>
              <w:bottom w:val="single" w:sz="4" w:space="0" w:color="auto"/>
              <w:right w:val="single" w:sz="4" w:space="0" w:color="auto"/>
            </w:tcBorders>
            <w:shd w:val="clear" w:color="000000" w:fill="8DB4E2"/>
            <w:noWrap/>
            <w:vAlign w:val="center"/>
            <w:hideMark/>
          </w:tcPr>
          <w:p w:rsidR="00625719" w:rsidRPr="0007325E" w:rsidRDefault="00625719" w:rsidP="00F161D7">
            <w:pPr>
              <w:jc w:val="center"/>
              <w:rPr>
                <w:b/>
                <w:bCs/>
                <w:color w:val="000000"/>
                <w:sz w:val="16"/>
                <w:szCs w:val="22"/>
                <w:lang w:val="es-GT" w:eastAsia="es-GT"/>
              </w:rPr>
            </w:pPr>
            <w:r w:rsidRPr="0007325E">
              <w:rPr>
                <w:b/>
                <w:bCs/>
                <w:color w:val="000000"/>
                <w:sz w:val="16"/>
                <w:szCs w:val="22"/>
                <w:lang w:val="es-GT" w:eastAsia="es-GT"/>
              </w:rPr>
              <w:t>Asignado</w:t>
            </w:r>
          </w:p>
        </w:tc>
        <w:tc>
          <w:tcPr>
            <w:tcW w:w="1276" w:type="dxa"/>
            <w:tcBorders>
              <w:top w:val="single" w:sz="8" w:space="0" w:color="auto"/>
              <w:left w:val="nil"/>
              <w:bottom w:val="single" w:sz="4" w:space="0" w:color="auto"/>
              <w:right w:val="single" w:sz="4" w:space="0" w:color="auto"/>
            </w:tcBorders>
            <w:shd w:val="clear" w:color="000000" w:fill="8DB4E2"/>
            <w:noWrap/>
            <w:vAlign w:val="center"/>
            <w:hideMark/>
          </w:tcPr>
          <w:p w:rsidR="00625719" w:rsidRPr="0007325E" w:rsidRDefault="00625719" w:rsidP="00F161D7">
            <w:pPr>
              <w:jc w:val="center"/>
              <w:rPr>
                <w:b/>
                <w:bCs/>
                <w:color w:val="000000"/>
                <w:sz w:val="16"/>
                <w:szCs w:val="22"/>
                <w:lang w:val="es-GT" w:eastAsia="es-GT"/>
              </w:rPr>
            </w:pPr>
            <w:r w:rsidRPr="0007325E">
              <w:rPr>
                <w:b/>
                <w:bCs/>
                <w:color w:val="000000"/>
                <w:sz w:val="16"/>
                <w:szCs w:val="22"/>
                <w:lang w:val="es-GT" w:eastAsia="es-GT"/>
              </w:rPr>
              <w:t>Ejecución</w:t>
            </w:r>
          </w:p>
        </w:tc>
        <w:tc>
          <w:tcPr>
            <w:tcW w:w="1134" w:type="dxa"/>
            <w:tcBorders>
              <w:top w:val="single" w:sz="8" w:space="0" w:color="auto"/>
              <w:left w:val="nil"/>
              <w:bottom w:val="single" w:sz="4" w:space="0" w:color="auto"/>
              <w:right w:val="single" w:sz="4" w:space="0" w:color="auto"/>
            </w:tcBorders>
            <w:shd w:val="clear" w:color="000000" w:fill="8DB4E2"/>
            <w:noWrap/>
            <w:vAlign w:val="center"/>
            <w:hideMark/>
          </w:tcPr>
          <w:p w:rsidR="00625719" w:rsidRPr="0007325E" w:rsidRDefault="00625719" w:rsidP="00F161D7">
            <w:pPr>
              <w:jc w:val="center"/>
              <w:rPr>
                <w:b/>
                <w:bCs/>
                <w:color w:val="000000"/>
                <w:sz w:val="16"/>
                <w:szCs w:val="22"/>
                <w:lang w:val="es-GT" w:eastAsia="es-GT"/>
              </w:rPr>
            </w:pPr>
            <w:r w:rsidRPr="0007325E">
              <w:rPr>
                <w:b/>
                <w:bCs/>
                <w:color w:val="000000"/>
                <w:sz w:val="16"/>
                <w:szCs w:val="22"/>
                <w:lang w:val="es-GT" w:eastAsia="es-GT"/>
              </w:rPr>
              <w:t>Diferencia</w:t>
            </w:r>
          </w:p>
        </w:tc>
        <w:tc>
          <w:tcPr>
            <w:tcW w:w="1134" w:type="dxa"/>
            <w:tcBorders>
              <w:top w:val="single" w:sz="8" w:space="0" w:color="auto"/>
              <w:left w:val="nil"/>
              <w:bottom w:val="single" w:sz="4" w:space="0" w:color="auto"/>
              <w:right w:val="single" w:sz="8" w:space="0" w:color="auto"/>
            </w:tcBorders>
            <w:shd w:val="clear" w:color="000000" w:fill="8DB4E2"/>
            <w:noWrap/>
            <w:vAlign w:val="center"/>
            <w:hideMark/>
          </w:tcPr>
          <w:p w:rsidR="00625719" w:rsidRPr="0007325E" w:rsidRDefault="00625719" w:rsidP="00F161D7">
            <w:pPr>
              <w:jc w:val="center"/>
              <w:rPr>
                <w:b/>
                <w:bCs/>
                <w:color w:val="000000"/>
                <w:sz w:val="16"/>
                <w:szCs w:val="22"/>
                <w:lang w:val="es-GT" w:eastAsia="es-GT"/>
              </w:rPr>
            </w:pPr>
            <w:r w:rsidRPr="0007325E">
              <w:rPr>
                <w:b/>
                <w:bCs/>
                <w:color w:val="000000"/>
                <w:sz w:val="16"/>
                <w:szCs w:val="22"/>
                <w:lang w:val="es-GT" w:eastAsia="es-GT"/>
              </w:rPr>
              <w:t>% Ejec</w:t>
            </w:r>
          </w:p>
        </w:tc>
      </w:tr>
      <w:tr w:rsidR="00625719" w:rsidRPr="0007325E" w:rsidTr="00E436B5">
        <w:trPr>
          <w:trHeight w:val="300"/>
        </w:trPr>
        <w:tc>
          <w:tcPr>
            <w:tcW w:w="4526" w:type="dxa"/>
            <w:tcBorders>
              <w:top w:val="nil"/>
              <w:left w:val="single" w:sz="8" w:space="0" w:color="auto"/>
              <w:bottom w:val="nil"/>
              <w:right w:val="single" w:sz="4" w:space="0" w:color="auto"/>
            </w:tcBorders>
            <w:shd w:val="clear" w:color="000000" w:fill="FFFFFF"/>
            <w:noWrap/>
            <w:vAlign w:val="center"/>
            <w:hideMark/>
          </w:tcPr>
          <w:p w:rsidR="00625719" w:rsidRPr="0007325E" w:rsidRDefault="00625719" w:rsidP="00F161D7">
            <w:pPr>
              <w:rPr>
                <w:b/>
                <w:bCs/>
                <w:color w:val="000000"/>
                <w:sz w:val="16"/>
                <w:szCs w:val="18"/>
                <w:lang w:val="es-GT" w:eastAsia="es-GT"/>
              </w:rPr>
            </w:pPr>
            <w:r w:rsidRPr="0007325E">
              <w:rPr>
                <w:b/>
                <w:bCs/>
                <w:color w:val="000000"/>
                <w:sz w:val="16"/>
                <w:szCs w:val="18"/>
                <w:lang w:val="es-GT" w:eastAsia="es-GT"/>
              </w:rPr>
              <w:t>APORTE A MUNICIPALIDADES</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b/>
                <w:bCs/>
                <w:color w:val="000000"/>
                <w:sz w:val="16"/>
                <w:szCs w:val="18"/>
                <w:lang w:val="es-GT" w:eastAsia="es-GT"/>
              </w:rPr>
            </w:pPr>
            <w:r w:rsidRPr="0007325E">
              <w:rPr>
                <w:b/>
                <w:bCs/>
                <w:color w:val="000000"/>
                <w:sz w:val="16"/>
                <w:szCs w:val="18"/>
                <w:lang w:val="es-GT" w:eastAsia="es-GT"/>
              </w:rPr>
              <w:t>7,619.9</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b/>
                <w:bCs/>
                <w:color w:val="000000"/>
                <w:sz w:val="16"/>
                <w:szCs w:val="18"/>
                <w:lang w:val="es-GT" w:eastAsia="es-GT"/>
              </w:rPr>
            </w:pPr>
            <w:r w:rsidRPr="0007325E">
              <w:rPr>
                <w:b/>
                <w:bCs/>
                <w:color w:val="000000"/>
                <w:sz w:val="16"/>
                <w:szCs w:val="18"/>
                <w:lang w:val="es-GT" w:eastAsia="es-GT"/>
              </w:rPr>
              <w:t>7,615.0</w:t>
            </w:r>
          </w:p>
        </w:tc>
        <w:tc>
          <w:tcPr>
            <w:tcW w:w="1134"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b/>
                <w:bCs/>
                <w:color w:val="000000"/>
                <w:sz w:val="16"/>
                <w:szCs w:val="18"/>
                <w:lang w:val="es-GT" w:eastAsia="es-GT"/>
              </w:rPr>
            </w:pPr>
            <w:r w:rsidRPr="0007325E">
              <w:rPr>
                <w:b/>
                <w:bCs/>
                <w:color w:val="000000"/>
                <w:sz w:val="16"/>
                <w:szCs w:val="18"/>
                <w:lang w:val="es-GT" w:eastAsia="es-GT"/>
              </w:rPr>
              <w:t>4.82</w:t>
            </w:r>
          </w:p>
        </w:tc>
        <w:tc>
          <w:tcPr>
            <w:tcW w:w="1134" w:type="dxa"/>
            <w:tcBorders>
              <w:top w:val="nil"/>
              <w:left w:val="nil"/>
              <w:bottom w:val="nil"/>
              <w:right w:val="single" w:sz="8" w:space="0" w:color="auto"/>
            </w:tcBorders>
            <w:shd w:val="clear" w:color="000000" w:fill="FFFFFF"/>
            <w:noWrap/>
            <w:vAlign w:val="center"/>
            <w:hideMark/>
          </w:tcPr>
          <w:p w:rsidR="00625719" w:rsidRPr="0007325E" w:rsidRDefault="00625719" w:rsidP="00F161D7">
            <w:pPr>
              <w:jc w:val="right"/>
              <w:rPr>
                <w:b/>
                <w:bCs/>
                <w:color w:val="000000"/>
                <w:sz w:val="16"/>
                <w:szCs w:val="18"/>
                <w:lang w:val="es-GT" w:eastAsia="es-GT"/>
              </w:rPr>
            </w:pPr>
            <w:r w:rsidRPr="0007325E">
              <w:rPr>
                <w:b/>
                <w:bCs/>
                <w:color w:val="000000"/>
                <w:sz w:val="16"/>
                <w:szCs w:val="18"/>
                <w:lang w:val="es-GT" w:eastAsia="es-GT"/>
              </w:rPr>
              <w:t>99.9%</w:t>
            </w:r>
          </w:p>
        </w:tc>
      </w:tr>
      <w:tr w:rsidR="00625719" w:rsidRPr="0007325E" w:rsidTr="00E436B5">
        <w:trPr>
          <w:trHeight w:val="300"/>
        </w:trPr>
        <w:tc>
          <w:tcPr>
            <w:tcW w:w="4526" w:type="dxa"/>
            <w:tcBorders>
              <w:top w:val="nil"/>
              <w:left w:val="single" w:sz="8" w:space="0" w:color="auto"/>
              <w:bottom w:val="nil"/>
              <w:right w:val="single" w:sz="4" w:space="0" w:color="auto"/>
            </w:tcBorders>
            <w:shd w:val="clear" w:color="000000" w:fill="FFFFFF"/>
            <w:noWrap/>
            <w:vAlign w:val="center"/>
            <w:hideMark/>
          </w:tcPr>
          <w:p w:rsidR="00625719" w:rsidRPr="0007325E" w:rsidRDefault="00625719" w:rsidP="00F161D7">
            <w:pPr>
              <w:ind w:firstLineChars="200" w:firstLine="320"/>
              <w:rPr>
                <w:color w:val="000000"/>
                <w:sz w:val="16"/>
                <w:szCs w:val="18"/>
                <w:lang w:val="es-GT" w:eastAsia="es-GT"/>
              </w:rPr>
            </w:pPr>
            <w:r w:rsidRPr="0007325E">
              <w:rPr>
                <w:color w:val="000000"/>
                <w:sz w:val="16"/>
                <w:szCs w:val="18"/>
                <w:lang w:val="es-GT" w:eastAsia="es-GT"/>
              </w:rPr>
              <w:t>Desarrollo Comunitario</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7,619.9</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7,615.0</w:t>
            </w:r>
          </w:p>
        </w:tc>
        <w:tc>
          <w:tcPr>
            <w:tcW w:w="1134"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4.82</w:t>
            </w:r>
          </w:p>
        </w:tc>
        <w:tc>
          <w:tcPr>
            <w:tcW w:w="1134" w:type="dxa"/>
            <w:tcBorders>
              <w:top w:val="nil"/>
              <w:left w:val="nil"/>
              <w:bottom w:val="nil"/>
              <w:right w:val="single" w:sz="8"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99.9%</w:t>
            </w:r>
          </w:p>
        </w:tc>
      </w:tr>
      <w:tr w:rsidR="00625719" w:rsidRPr="0007325E" w:rsidTr="00E436B5">
        <w:trPr>
          <w:trHeight w:val="300"/>
        </w:trPr>
        <w:tc>
          <w:tcPr>
            <w:tcW w:w="4526" w:type="dxa"/>
            <w:tcBorders>
              <w:top w:val="nil"/>
              <w:left w:val="single" w:sz="8" w:space="0" w:color="auto"/>
              <w:bottom w:val="nil"/>
              <w:right w:val="single" w:sz="4" w:space="0" w:color="auto"/>
            </w:tcBorders>
            <w:shd w:val="clear" w:color="000000" w:fill="FFFFFF"/>
            <w:noWrap/>
            <w:vAlign w:val="center"/>
            <w:hideMark/>
          </w:tcPr>
          <w:p w:rsidR="00625719" w:rsidRPr="0007325E" w:rsidRDefault="00625719" w:rsidP="00F161D7">
            <w:pPr>
              <w:rPr>
                <w:b/>
                <w:bCs/>
                <w:color w:val="000000"/>
                <w:sz w:val="16"/>
                <w:szCs w:val="18"/>
                <w:lang w:val="es-GT" w:eastAsia="es-GT"/>
              </w:rPr>
            </w:pPr>
            <w:r w:rsidRPr="0007325E">
              <w:rPr>
                <w:b/>
                <w:bCs/>
                <w:color w:val="000000"/>
                <w:sz w:val="16"/>
                <w:szCs w:val="18"/>
                <w:lang w:val="es-GT" w:eastAsia="es-GT"/>
              </w:rPr>
              <w:t>CLASES PASIVAS CIVILES DEL ESTADO</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b/>
                <w:bCs/>
                <w:color w:val="000000"/>
                <w:sz w:val="16"/>
                <w:szCs w:val="18"/>
                <w:lang w:val="es-GT" w:eastAsia="es-GT"/>
              </w:rPr>
            </w:pPr>
            <w:r w:rsidRPr="0007325E">
              <w:rPr>
                <w:b/>
                <w:bCs/>
                <w:color w:val="000000"/>
                <w:sz w:val="16"/>
                <w:szCs w:val="18"/>
                <w:lang w:val="es-GT" w:eastAsia="es-GT"/>
              </w:rPr>
              <w:t>5,195.7</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b/>
                <w:bCs/>
                <w:color w:val="000000"/>
                <w:sz w:val="16"/>
                <w:szCs w:val="18"/>
                <w:lang w:val="es-GT" w:eastAsia="es-GT"/>
              </w:rPr>
            </w:pPr>
            <w:r w:rsidRPr="0007325E">
              <w:rPr>
                <w:b/>
                <w:bCs/>
                <w:color w:val="000000"/>
                <w:sz w:val="16"/>
                <w:szCs w:val="18"/>
                <w:lang w:val="es-GT" w:eastAsia="es-GT"/>
              </w:rPr>
              <w:t>5,137.7</w:t>
            </w:r>
          </w:p>
        </w:tc>
        <w:tc>
          <w:tcPr>
            <w:tcW w:w="1134"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b/>
                <w:bCs/>
                <w:color w:val="000000"/>
                <w:sz w:val="16"/>
                <w:szCs w:val="18"/>
                <w:lang w:val="es-GT" w:eastAsia="es-GT"/>
              </w:rPr>
            </w:pPr>
            <w:r w:rsidRPr="0007325E">
              <w:rPr>
                <w:b/>
                <w:bCs/>
                <w:color w:val="000000"/>
                <w:sz w:val="16"/>
                <w:szCs w:val="18"/>
                <w:lang w:val="es-GT" w:eastAsia="es-GT"/>
              </w:rPr>
              <w:t>57.91</w:t>
            </w:r>
          </w:p>
        </w:tc>
        <w:tc>
          <w:tcPr>
            <w:tcW w:w="1134" w:type="dxa"/>
            <w:tcBorders>
              <w:top w:val="nil"/>
              <w:left w:val="nil"/>
              <w:bottom w:val="nil"/>
              <w:right w:val="single" w:sz="8" w:space="0" w:color="auto"/>
            </w:tcBorders>
            <w:shd w:val="clear" w:color="000000" w:fill="FFFFFF"/>
            <w:noWrap/>
            <w:vAlign w:val="center"/>
            <w:hideMark/>
          </w:tcPr>
          <w:p w:rsidR="00625719" w:rsidRPr="0007325E" w:rsidRDefault="00625719" w:rsidP="00F161D7">
            <w:pPr>
              <w:jc w:val="right"/>
              <w:rPr>
                <w:b/>
                <w:bCs/>
                <w:color w:val="000000"/>
                <w:sz w:val="16"/>
                <w:szCs w:val="18"/>
                <w:lang w:val="es-GT" w:eastAsia="es-GT"/>
              </w:rPr>
            </w:pPr>
            <w:r w:rsidRPr="0007325E">
              <w:rPr>
                <w:b/>
                <w:bCs/>
                <w:color w:val="000000"/>
                <w:sz w:val="16"/>
                <w:szCs w:val="18"/>
                <w:lang w:val="es-GT" w:eastAsia="es-GT"/>
              </w:rPr>
              <w:t>98.9%</w:t>
            </w:r>
          </w:p>
        </w:tc>
      </w:tr>
      <w:tr w:rsidR="00625719" w:rsidRPr="0007325E" w:rsidTr="00E436B5">
        <w:trPr>
          <w:trHeight w:val="300"/>
        </w:trPr>
        <w:tc>
          <w:tcPr>
            <w:tcW w:w="4526" w:type="dxa"/>
            <w:tcBorders>
              <w:top w:val="nil"/>
              <w:left w:val="single" w:sz="8" w:space="0" w:color="auto"/>
              <w:bottom w:val="nil"/>
              <w:right w:val="single" w:sz="4" w:space="0" w:color="auto"/>
            </w:tcBorders>
            <w:shd w:val="clear" w:color="000000" w:fill="FFFFFF"/>
            <w:noWrap/>
            <w:vAlign w:val="center"/>
            <w:hideMark/>
          </w:tcPr>
          <w:p w:rsidR="00625719" w:rsidRPr="0007325E" w:rsidRDefault="00625719" w:rsidP="00F161D7">
            <w:pPr>
              <w:ind w:firstLineChars="200" w:firstLine="320"/>
              <w:rPr>
                <w:color w:val="000000"/>
                <w:sz w:val="16"/>
                <w:szCs w:val="18"/>
                <w:lang w:val="es-GT" w:eastAsia="es-GT"/>
              </w:rPr>
            </w:pPr>
            <w:r w:rsidRPr="0007325E">
              <w:rPr>
                <w:color w:val="000000"/>
                <w:sz w:val="16"/>
                <w:szCs w:val="18"/>
                <w:lang w:val="es-GT" w:eastAsia="es-GT"/>
              </w:rPr>
              <w:t>Edad Avanzada</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5,195.7</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5,137.7</w:t>
            </w:r>
          </w:p>
        </w:tc>
        <w:tc>
          <w:tcPr>
            <w:tcW w:w="1134"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57.91</w:t>
            </w:r>
          </w:p>
        </w:tc>
        <w:tc>
          <w:tcPr>
            <w:tcW w:w="1134" w:type="dxa"/>
            <w:tcBorders>
              <w:top w:val="nil"/>
              <w:left w:val="nil"/>
              <w:bottom w:val="nil"/>
              <w:right w:val="single" w:sz="8"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98.9%</w:t>
            </w:r>
          </w:p>
        </w:tc>
      </w:tr>
      <w:tr w:rsidR="00625719" w:rsidRPr="0007325E" w:rsidTr="00E436B5">
        <w:trPr>
          <w:trHeight w:val="300"/>
        </w:trPr>
        <w:tc>
          <w:tcPr>
            <w:tcW w:w="4526" w:type="dxa"/>
            <w:tcBorders>
              <w:top w:val="nil"/>
              <w:left w:val="single" w:sz="8" w:space="0" w:color="auto"/>
              <w:bottom w:val="nil"/>
              <w:right w:val="single" w:sz="4" w:space="0" w:color="auto"/>
            </w:tcBorders>
            <w:shd w:val="clear" w:color="000000" w:fill="FFFFFF"/>
            <w:noWrap/>
            <w:vAlign w:val="center"/>
            <w:hideMark/>
          </w:tcPr>
          <w:p w:rsidR="00625719" w:rsidRPr="0007325E" w:rsidRDefault="00625719" w:rsidP="00F161D7">
            <w:pPr>
              <w:rPr>
                <w:b/>
                <w:bCs/>
                <w:color w:val="000000"/>
                <w:sz w:val="16"/>
                <w:szCs w:val="18"/>
                <w:lang w:val="es-GT" w:eastAsia="es-GT"/>
              </w:rPr>
            </w:pPr>
            <w:r w:rsidRPr="0007325E">
              <w:rPr>
                <w:b/>
                <w:bCs/>
                <w:color w:val="000000"/>
                <w:sz w:val="16"/>
                <w:szCs w:val="18"/>
                <w:lang w:val="es-GT" w:eastAsia="es-GT"/>
              </w:rPr>
              <w:t>OTRAS OBLIGACIONES DEL ESTADO</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b/>
                <w:bCs/>
                <w:color w:val="000000"/>
                <w:sz w:val="16"/>
                <w:szCs w:val="18"/>
                <w:lang w:val="es-GT" w:eastAsia="es-GT"/>
              </w:rPr>
            </w:pPr>
            <w:r w:rsidRPr="0007325E">
              <w:rPr>
                <w:b/>
                <w:bCs/>
                <w:color w:val="000000"/>
                <w:sz w:val="16"/>
                <w:szCs w:val="18"/>
                <w:lang w:val="es-GT" w:eastAsia="es-GT"/>
              </w:rPr>
              <w:t>485.1</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b/>
                <w:bCs/>
                <w:color w:val="000000"/>
                <w:sz w:val="16"/>
                <w:szCs w:val="18"/>
                <w:lang w:val="es-GT" w:eastAsia="es-GT"/>
              </w:rPr>
            </w:pPr>
            <w:r w:rsidRPr="0007325E">
              <w:rPr>
                <w:b/>
                <w:bCs/>
                <w:color w:val="000000"/>
                <w:sz w:val="16"/>
                <w:szCs w:val="18"/>
                <w:lang w:val="es-GT" w:eastAsia="es-GT"/>
              </w:rPr>
              <w:t>529.8</w:t>
            </w:r>
          </w:p>
        </w:tc>
        <w:tc>
          <w:tcPr>
            <w:tcW w:w="1134"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-44.75</w:t>
            </w:r>
          </w:p>
        </w:tc>
        <w:tc>
          <w:tcPr>
            <w:tcW w:w="1134" w:type="dxa"/>
            <w:tcBorders>
              <w:top w:val="nil"/>
              <w:left w:val="nil"/>
              <w:bottom w:val="nil"/>
              <w:right w:val="single" w:sz="8"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109.2%</w:t>
            </w:r>
          </w:p>
        </w:tc>
      </w:tr>
      <w:tr w:rsidR="00625719" w:rsidRPr="0007325E" w:rsidTr="00E436B5">
        <w:trPr>
          <w:trHeight w:val="300"/>
        </w:trPr>
        <w:tc>
          <w:tcPr>
            <w:tcW w:w="4526" w:type="dxa"/>
            <w:tcBorders>
              <w:top w:val="nil"/>
              <w:left w:val="single" w:sz="8" w:space="0" w:color="auto"/>
              <w:bottom w:val="nil"/>
              <w:right w:val="single" w:sz="4" w:space="0" w:color="auto"/>
            </w:tcBorders>
            <w:shd w:val="clear" w:color="000000" w:fill="FFFFFF"/>
            <w:noWrap/>
            <w:vAlign w:val="center"/>
            <w:hideMark/>
          </w:tcPr>
          <w:p w:rsidR="00625719" w:rsidRPr="0007325E" w:rsidRDefault="00625719" w:rsidP="00F161D7">
            <w:pPr>
              <w:ind w:firstLineChars="200" w:firstLine="320"/>
              <w:rPr>
                <w:color w:val="000000"/>
                <w:sz w:val="16"/>
                <w:szCs w:val="18"/>
                <w:lang w:val="es-GT" w:eastAsia="es-GT"/>
              </w:rPr>
            </w:pPr>
            <w:r w:rsidRPr="0007325E">
              <w:rPr>
                <w:color w:val="000000"/>
                <w:sz w:val="16"/>
                <w:szCs w:val="18"/>
                <w:lang w:val="es-GT" w:eastAsia="es-GT"/>
              </w:rPr>
              <w:t>Protección de la Diversidad Biológica y del Paisaje</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479.1</w:t>
            </w:r>
          </w:p>
        </w:tc>
        <w:tc>
          <w:tcPr>
            <w:tcW w:w="1276"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528.8</w:t>
            </w:r>
          </w:p>
        </w:tc>
        <w:tc>
          <w:tcPr>
            <w:tcW w:w="1134" w:type="dxa"/>
            <w:tcBorders>
              <w:top w:val="nil"/>
              <w:left w:val="nil"/>
              <w:bottom w:val="nil"/>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-49.75</w:t>
            </w:r>
          </w:p>
        </w:tc>
        <w:tc>
          <w:tcPr>
            <w:tcW w:w="1134" w:type="dxa"/>
            <w:tcBorders>
              <w:top w:val="nil"/>
              <w:left w:val="nil"/>
              <w:bottom w:val="nil"/>
              <w:right w:val="single" w:sz="8"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110.4%</w:t>
            </w:r>
          </w:p>
        </w:tc>
      </w:tr>
      <w:tr w:rsidR="00625719" w:rsidRPr="0007325E" w:rsidTr="00E436B5">
        <w:trPr>
          <w:trHeight w:val="315"/>
        </w:trPr>
        <w:tc>
          <w:tcPr>
            <w:tcW w:w="4526" w:type="dxa"/>
            <w:tcBorders>
              <w:top w:val="nil"/>
              <w:left w:val="single" w:sz="8" w:space="0" w:color="auto"/>
              <w:bottom w:val="single" w:sz="8" w:space="0" w:color="auto"/>
              <w:right w:val="single" w:sz="4" w:space="0" w:color="auto"/>
            </w:tcBorders>
            <w:shd w:val="clear" w:color="000000" w:fill="FFFFFF"/>
            <w:noWrap/>
            <w:vAlign w:val="center"/>
            <w:hideMark/>
          </w:tcPr>
          <w:p w:rsidR="00625719" w:rsidRPr="0007325E" w:rsidRDefault="00625719" w:rsidP="00F161D7">
            <w:pPr>
              <w:ind w:firstLineChars="200" w:firstLine="320"/>
              <w:rPr>
                <w:color w:val="000000"/>
                <w:sz w:val="16"/>
                <w:szCs w:val="18"/>
                <w:lang w:val="es-GT" w:eastAsia="es-GT"/>
              </w:rPr>
            </w:pPr>
            <w:r w:rsidRPr="0007325E">
              <w:rPr>
                <w:color w:val="000000"/>
                <w:sz w:val="16"/>
                <w:szCs w:val="18"/>
                <w:lang w:val="es-GT" w:eastAsia="es-GT"/>
              </w:rPr>
              <w:t>Desarrollo Comunitario</w:t>
            </w:r>
          </w:p>
        </w:tc>
        <w:tc>
          <w:tcPr>
            <w:tcW w:w="1276" w:type="dxa"/>
            <w:tcBorders>
              <w:top w:val="nil"/>
              <w:left w:val="single" w:sz="4" w:space="0" w:color="auto"/>
              <w:bottom w:val="single" w:sz="8" w:space="0" w:color="auto"/>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6.0</w:t>
            </w:r>
          </w:p>
        </w:tc>
        <w:tc>
          <w:tcPr>
            <w:tcW w:w="1276" w:type="dxa"/>
            <w:tcBorders>
              <w:top w:val="nil"/>
              <w:left w:val="nil"/>
              <w:bottom w:val="single" w:sz="8" w:space="0" w:color="auto"/>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1.0</w:t>
            </w:r>
          </w:p>
        </w:tc>
        <w:tc>
          <w:tcPr>
            <w:tcW w:w="1134" w:type="dxa"/>
            <w:tcBorders>
              <w:top w:val="nil"/>
              <w:left w:val="nil"/>
              <w:bottom w:val="single" w:sz="8" w:space="0" w:color="auto"/>
              <w:right w:val="single" w:sz="4"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5.00</w:t>
            </w:r>
          </w:p>
        </w:tc>
        <w:tc>
          <w:tcPr>
            <w:tcW w:w="1134" w:type="dxa"/>
            <w:tcBorders>
              <w:top w:val="nil"/>
              <w:left w:val="nil"/>
              <w:bottom w:val="single" w:sz="8" w:space="0" w:color="auto"/>
              <w:right w:val="single" w:sz="8" w:space="0" w:color="auto"/>
            </w:tcBorders>
            <w:shd w:val="clear" w:color="000000" w:fill="FFFFFF"/>
            <w:noWrap/>
            <w:vAlign w:val="center"/>
            <w:hideMark/>
          </w:tcPr>
          <w:p w:rsidR="00625719" w:rsidRPr="0007325E" w:rsidRDefault="00625719" w:rsidP="00F161D7">
            <w:pPr>
              <w:jc w:val="right"/>
              <w:rPr>
                <w:color w:val="000000"/>
                <w:sz w:val="16"/>
                <w:szCs w:val="18"/>
                <w:lang w:val="es-GT" w:eastAsia="es-GT"/>
              </w:rPr>
            </w:pPr>
            <w:r w:rsidRPr="0007325E">
              <w:rPr>
                <w:color w:val="000000"/>
                <w:sz w:val="16"/>
                <w:szCs w:val="18"/>
                <w:lang w:val="es-GT" w:eastAsia="es-GT"/>
              </w:rPr>
              <w:t>16.7%</w:t>
            </w:r>
          </w:p>
        </w:tc>
      </w:tr>
    </w:tbl>
    <w:p w:rsidR="00625719" w:rsidRPr="004E678D" w:rsidRDefault="00625719" w:rsidP="00625719">
      <w:pPr>
        <w:jc w:val="both"/>
        <w:rPr>
          <w:sz w:val="18"/>
        </w:rPr>
      </w:pPr>
      <w:r w:rsidRPr="004E678D">
        <w:rPr>
          <w:sz w:val="18"/>
        </w:rPr>
        <w:t>Fuente: Ministerio de Finanzas Públicas</w:t>
      </w:r>
      <w:r>
        <w:rPr>
          <w:sz w:val="18"/>
        </w:rPr>
        <w:t>.</w:t>
      </w:r>
    </w:p>
    <w:p w:rsidR="00625719" w:rsidRPr="00D108FD" w:rsidRDefault="00625719" w:rsidP="00625719">
      <w:pPr>
        <w:jc w:val="both"/>
      </w:pPr>
    </w:p>
    <w:p w:rsidR="00625719" w:rsidRDefault="00625719" w:rsidP="00D91F78">
      <w:pPr>
        <w:rPr>
          <w:b/>
        </w:rPr>
      </w:pPr>
    </w:p>
    <w:sectPr w:rsidR="00625719" w:rsidSect="00D32693">
      <w:headerReference w:type="default" r:id="rId34"/>
      <w:footerReference w:type="default" r:id="rId35"/>
      <w:pgSz w:w="12240" w:h="15840"/>
      <w:pgMar w:top="1417" w:right="1183"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4988" w:rsidRDefault="007D4988" w:rsidP="000E01E0">
      <w:r>
        <w:separator/>
      </w:r>
    </w:p>
  </w:endnote>
  <w:endnote w:type="continuationSeparator" w:id="0">
    <w:p w:rsidR="007D4988" w:rsidRDefault="007D4988" w:rsidP="000E0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elix Titling">
    <w:panose1 w:val="04060505060202020A04"/>
    <w:charset w:val="00"/>
    <w:family w:val="decorative"/>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49361723"/>
      <w:docPartObj>
        <w:docPartGallery w:val="Page Numbers (Bottom of Page)"/>
        <w:docPartUnique/>
      </w:docPartObj>
    </w:sdtPr>
    <w:sdtEndPr/>
    <w:sdtContent>
      <w:p w:rsidR="00205147" w:rsidRDefault="00205147">
        <w:pPr>
          <w:pStyle w:val="Piedepgina"/>
          <w:jc w:val="right"/>
        </w:pPr>
        <w:r>
          <w:fldChar w:fldCharType="begin"/>
        </w:r>
        <w:r>
          <w:instrText>PAGE   \* MERGEFORMAT</w:instrText>
        </w:r>
        <w:r>
          <w:fldChar w:fldCharType="separate"/>
        </w:r>
        <w:r w:rsidR="00911A1C">
          <w:rPr>
            <w:noProof/>
          </w:rPr>
          <w:t>9</w:t>
        </w:r>
        <w:r>
          <w:fldChar w:fldCharType="end"/>
        </w:r>
      </w:p>
    </w:sdtContent>
  </w:sdt>
  <w:p w:rsidR="00205147" w:rsidRDefault="0020514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4988" w:rsidRDefault="007D4988" w:rsidP="000E01E0">
      <w:r>
        <w:separator/>
      </w:r>
    </w:p>
  </w:footnote>
  <w:footnote w:type="continuationSeparator" w:id="0">
    <w:p w:rsidR="007D4988" w:rsidRDefault="007D4988" w:rsidP="000E01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sz w:val="32"/>
        <w:szCs w:val="32"/>
      </w:rPr>
      <w:alias w:val="Título"/>
      <w:id w:val="1442269643"/>
      <w:dataBinding w:prefixMappings="xmlns:ns0='http://schemas.openxmlformats.org/package/2006/metadata/core-properties' xmlns:ns1='http://purl.org/dc/elements/1.1/'" w:xpath="/ns0:coreProperties[1]/ns1:title[1]" w:storeItemID="{6C3C8BC8-F283-45AE-878A-BAB7291924A1}"/>
      <w:text/>
    </w:sdtPr>
    <w:sdtEndPr/>
    <w:sdtContent>
      <w:p w:rsidR="00205147" w:rsidRDefault="00205147">
        <w:pPr>
          <w:pStyle w:val="Encabezado"/>
          <w:pBdr>
            <w:bottom w:val="thickThinSmallGap" w:sz="24" w:space="1" w:color="585858"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sz w:val="32"/>
            <w:szCs w:val="32"/>
            <w:lang w:val="es-MX"/>
          </w:rPr>
          <w:t>Índice de Presupuesto Abierto                                                   Informe de Fin de Año</w:t>
        </w:r>
        <w:r>
          <w:rPr>
            <w:rFonts w:asciiTheme="majorHAnsi" w:eastAsiaTheme="majorEastAsia" w:hAnsiTheme="majorHAnsi" w:cstheme="majorBidi"/>
            <w:sz w:val="32"/>
            <w:szCs w:val="32"/>
            <w:lang w:val="es-GT"/>
          </w:rPr>
          <w:t xml:space="preserve"> al 31 de diciembre de 2019</w:t>
        </w:r>
      </w:p>
    </w:sdtContent>
  </w:sdt>
  <w:p w:rsidR="00205147" w:rsidRDefault="0020514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49968E82"/>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000001A"/>
    <w:multiLevelType w:val="singleLevel"/>
    <w:tmpl w:val="0000001A"/>
    <w:name w:val="WW8Num26"/>
    <w:lvl w:ilvl="0">
      <w:start w:val="1"/>
      <w:numFmt w:val="decimal"/>
      <w:lvlText w:val="%1."/>
      <w:lvlJc w:val="left"/>
      <w:pPr>
        <w:tabs>
          <w:tab w:val="num" w:pos="0"/>
        </w:tabs>
        <w:ind w:left="720" w:hanging="360"/>
      </w:pPr>
      <w:rPr>
        <w:b/>
      </w:rPr>
    </w:lvl>
  </w:abstractNum>
  <w:abstractNum w:abstractNumId="2">
    <w:nsid w:val="01F121CE"/>
    <w:multiLevelType w:val="hybridMultilevel"/>
    <w:tmpl w:val="3C7A96BC"/>
    <w:lvl w:ilvl="0" w:tplc="7C567F54">
      <w:start w:val="1"/>
      <w:numFmt w:val="decimal"/>
      <w:lvlText w:val="%1."/>
      <w:lvlJc w:val="left"/>
      <w:pPr>
        <w:ind w:left="1080" w:hanging="360"/>
      </w:pPr>
      <w:rPr>
        <w:rFonts w:hint="default"/>
      </w:rPr>
    </w:lvl>
    <w:lvl w:ilvl="1" w:tplc="100A0019" w:tentative="1">
      <w:start w:val="1"/>
      <w:numFmt w:val="lowerLetter"/>
      <w:lvlText w:val="%2."/>
      <w:lvlJc w:val="left"/>
      <w:pPr>
        <w:ind w:left="1800" w:hanging="360"/>
      </w:pPr>
    </w:lvl>
    <w:lvl w:ilvl="2" w:tplc="100A001B" w:tentative="1">
      <w:start w:val="1"/>
      <w:numFmt w:val="lowerRoman"/>
      <w:lvlText w:val="%3."/>
      <w:lvlJc w:val="right"/>
      <w:pPr>
        <w:ind w:left="2520" w:hanging="180"/>
      </w:pPr>
    </w:lvl>
    <w:lvl w:ilvl="3" w:tplc="100A000F" w:tentative="1">
      <w:start w:val="1"/>
      <w:numFmt w:val="decimal"/>
      <w:lvlText w:val="%4."/>
      <w:lvlJc w:val="left"/>
      <w:pPr>
        <w:ind w:left="3240" w:hanging="360"/>
      </w:pPr>
    </w:lvl>
    <w:lvl w:ilvl="4" w:tplc="100A0019" w:tentative="1">
      <w:start w:val="1"/>
      <w:numFmt w:val="lowerLetter"/>
      <w:lvlText w:val="%5."/>
      <w:lvlJc w:val="left"/>
      <w:pPr>
        <w:ind w:left="3960" w:hanging="360"/>
      </w:pPr>
    </w:lvl>
    <w:lvl w:ilvl="5" w:tplc="100A001B" w:tentative="1">
      <w:start w:val="1"/>
      <w:numFmt w:val="lowerRoman"/>
      <w:lvlText w:val="%6."/>
      <w:lvlJc w:val="right"/>
      <w:pPr>
        <w:ind w:left="4680" w:hanging="180"/>
      </w:pPr>
    </w:lvl>
    <w:lvl w:ilvl="6" w:tplc="100A000F" w:tentative="1">
      <w:start w:val="1"/>
      <w:numFmt w:val="decimal"/>
      <w:lvlText w:val="%7."/>
      <w:lvlJc w:val="left"/>
      <w:pPr>
        <w:ind w:left="5400" w:hanging="360"/>
      </w:pPr>
    </w:lvl>
    <w:lvl w:ilvl="7" w:tplc="100A0019" w:tentative="1">
      <w:start w:val="1"/>
      <w:numFmt w:val="lowerLetter"/>
      <w:lvlText w:val="%8."/>
      <w:lvlJc w:val="left"/>
      <w:pPr>
        <w:ind w:left="6120" w:hanging="360"/>
      </w:pPr>
    </w:lvl>
    <w:lvl w:ilvl="8" w:tplc="100A001B" w:tentative="1">
      <w:start w:val="1"/>
      <w:numFmt w:val="lowerRoman"/>
      <w:lvlText w:val="%9."/>
      <w:lvlJc w:val="right"/>
      <w:pPr>
        <w:ind w:left="6840" w:hanging="180"/>
      </w:pPr>
    </w:lvl>
  </w:abstractNum>
  <w:abstractNum w:abstractNumId="3">
    <w:nsid w:val="069835AE"/>
    <w:multiLevelType w:val="hybridMultilevel"/>
    <w:tmpl w:val="9E0479E8"/>
    <w:lvl w:ilvl="0" w:tplc="100A0017">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
    <w:nsid w:val="2082437F"/>
    <w:multiLevelType w:val="hybridMultilevel"/>
    <w:tmpl w:val="10C4AE48"/>
    <w:lvl w:ilvl="0" w:tplc="A9ACAEBC">
      <w:start w:val="1"/>
      <w:numFmt w:val="decimal"/>
      <w:lvlText w:val="%1."/>
      <w:lvlJc w:val="left"/>
      <w:pPr>
        <w:ind w:left="720" w:hanging="360"/>
      </w:pPr>
      <w:rPr>
        <w:rFonts w:ascii="Times New Roman" w:hAnsi="Times New Roman" w:hint="default"/>
        <w:color w:val="000000" w:themeColor="text1"/>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nsid w:val="26A716D7"/>
    <w:multiLevelType w:val="hybridMultilevel"/>
    <w:tmpl w:val="D79E76F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nsid w:val="491279C1"/>
    <w:multiLevelType w:val="hybridMultilevel"/>
    <w:tmpl w:val="1E8C631E"/>
    <w:lvl w:ilvl="0" w:tplc="100A0019">
      <w:start w:val="1"/>
      <w:numFmt w:val="lowerLetter"/>
      <w:lvlText w:val="%1."/>
      <w:lvlJc w:val="left"/>
      <w:pPr>
        <w:ind w:left="144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4B5256E6"/>
    <w:multiLevelType w:val="hybridMultilevel"/>
    <w:tmpl w:val="B582D2AA"/>
    <w:lvl w:ilvl="0" w:tplc="100A0001">
      <w:start w:val="1"/>
      <w:numFmt w:val="bullet"/>
      <w:lvlText w:val=""/>
      <w:lvlJc w:val="left"/>
      <w:pPr>
        <w:ind w:left="1485" w:hanging="360"/>
      </w:pPr>
      <w:rPr>
        <w:rFonts w:ascii="Symbol" w:hAnsi="Symbol" w:hint="default"/>
      </w:rPr>
    </w:lvl>
    <w:lvl w:ilvl="1" w:tplc="100A0003" w:tentative="1">
      <w:start w:val="1"/>
      <w:numFmt w:val="bullet"/>
      <w:lvlText w:val="o"/>
      <w:lvlJc w:val="left"/>
      <w:pPr>
        <w:ind w:left="2205" w:hanging="360"/>
      </w:pPr>
      <w:rPr>
        <w:rFonts w:ascii="Courier New" w:hAnsi="Courier New" w:cs="Courier New" w:hint="default"/>
      </w:rPr>
    </w:lvl>
    <w:lvl w:ilvl="2" w:tplc="100A0005" w:tentative="1">
      <w:start w:val="1"/>
      <w:numFmt w:val="bullet"/>
      <w:lvlText w:val=""/>
      <w:lvlJc w:val="left"/>
      <w:pPr>
        <w:ind w:left="2925" w:hanging="360"/>
      </w:pPr>
      <w:rPr>
        <w:rFonts w:ascii="Wingdings" w:hAnsi="Wingdings" w:hint="default"/>
      </w:rPr>
    </w:lvl>
    <w:lvl w:ilvl="3" w:tplc="100A0001" w:tentative="1">
      <w:start w:val="1"/>
      <w:numFmt w:val="bullet"/>
      <w:lvlText w:val=""/>
      <w:lvlJc w:val="left"/>
      <w:pPr>
        <w:ind w:left="3645" w:hanging="360"/>
      </w:pPr>
      <w:rPr>
        <w:rFonts w:ascii="Symbol" w:hAnsi="Symbol" w:hint="default"/>
      </w:rPr>
    </w:lvl>
    <w:lvl w:ilvl="4" w:tplc="100A0003" w:tentative="1">
      <w:start w:val="1"/>
      <w:numFmt w:val="bullet"/>
      <w:lvlText w:val="o"/>
      <w:lvlJc w:val="left"/>
      <w:pPr>
        <w:ind w:left="4365" w:hanging="360"/>
      </w:pPr>
      <w:rPr>
        <w:rFonts w:ascii="Courier New" w:hAnsi="Courier New" w:cs="Courier New" w:hint="default"/>
      </w:rPr>
    </w:lvl>
    <w:lvl w:ilvl="5" w:tplc="100A0005" w:tentative="1">
      <w:start w:val="1"/>
      <w:numFmt w:val="bullet"/>
      <w:lvlText w:val=""/>
      <w:lvlJc w:val="left"/>
      <w:pPr>
        <w:ind w:left="5085" w:hanging="360"/>
      </w:pPr>
      <w:rPr>
        <w:rFonts w:ascii="Wingdings" w:hAnsi="Wingdings" w:hint="default"/>
      </w:rPr>
    </w:lvl>
    <w:lvl w:ilvl="6" w:tplc="100A0001" w:tentative="1">
      <w:start w:val="1"/>
      <w:numFmt w:val="bullet"/>
      <w:lvlText w:val=""/>
      <w:lvlJc w:val="left"/>
      <w:pPr>
        <w:ind w:left="5805" w:hanging="360"/>
      </w:pPr>
      <w:rPr>
        <w:rFonts w:ascii="Symbol" w:hAnsi="Symbol" w:hint="default"/>
      </w:rPr>
    </w:lvl>
    <w:lvl w:ilvl="7" w:tplc="100A0003" w:tentative="1">
      <w:start w:val="1"/>
      <w:numFmt w:val="bullet"/>
      <w:lvlText w:val="o"/>
      <w:lvlJc w:val="left"/>
      <w:pPr>
        <w:ind w:left="6525" w:hanging="360"/>
      </w:pPr>
      <w:rPr>
        <w:rFonts w:ascii="Courier New" w:hAnsi="Courier New" w:cs="Courier New" w:hint="default"/>
      </w:rPr>
    </w:lvl>
    <w:lvl w:ilvl="8" w:tplc="100A0005" w:tentative="1">
      <w:start w:val="1"/>
      <w:numFmt w:val="bullet"/>
      <w:lvlText w:val=""/>
      <w:lvlJc w:val="left"/>
      <w:pPr>
        <w:ind w:left="7245" w:hanging="360"/>
      </w:pPr>
      <w:rPr>
        <w:rFonts w:ascii="Wingdings" w:hAnsi="Wingdings" w:hint="default"/>
      </w:rPr>
    </w:lvl>
  </w:abstractNum>
  <w:abstractNum w:abstractNumId="8">
    <w:nsid w:val="63394AB9"/>
    <w:multiLevelType w:val="multilevel"/>
    <w:tmpl w:val="9A3093B6"/>
    <w:lvl w:ilvl="0">
      <w:start w:val="1"/>
      <w:numFmt w:val="upperRoman"/>
      <w:pStyle w:val="Ttulo1"/>
      <w:lvlText w:val="%1."/>
      <w:lvlJc w:val="left"/>
      <w:pPr>
        <w:tabs>
          <w:tab w:val="num" w:pos="0"/>
        </w:tabs>
        <w:ind w:left="432" w:hanging="432"/>
      </w:pPr>
      <w:rPr>
        <w:rFonts w:hint="default"/>
      </w:rPr>
    </w:lvl>
    <w:lvl w:ilvl="1">
      <w:start w:val="1"/>
      <w:numFmt w:val="upperLetter"/>
      <w:pStyle w:val="Ttulo2"/>
      <w:lvlText w:val="%2."/>
      <w:lvlJc w:val="left"/>
      <w:pPr>
        <w:tabs>
          <w:tab w:val="num" w:pos="0"/>
        </w:tabs>
        <w:ind w:left="576" w:hanging="576"/>
      </w:pPr>
      <w:rPr>
        <w:rFonts w:ascii="Times New Roman" w:hAnsi="Times New Roman" w:cs="Times New Roman" w:hint="default"/>
        <w:b/>
        <w:i w:val="0"/>
        <w:color w:val="auto"/>
      </w:rPr>
    </w:lvl>
    <w:lvl w:ilvl="2">
      <w:start w:val="1"/>
      <w:numFmt w:val="decimal"/>
      <w:pStyle w:val="Ttulo3"/>
      <w:lvlText w:val="%1.%2.%3"/>
      <w:lvlJc w:val="left"/>
      <w:pPr>
        <w:tabs>
          <w:tab w:val="num" w:pos="0"/>
        </w:tabs>
        <w:ind w:left="720" w:hanging="720"/>
      </w:pPr>
      <w:rPr>
        <w:rFonts w:hint="default"/>
      </w:rPr>
    </w:lvl>
    <w:lvl w:ilvl="3">
      <w:start w:val="1"/>
      <w:numFmt w:val="decimal"/>
      <w:pStyle w:val="Ttulo4"/>
      <w:lvlText w:val="%1.%2.%3.%4"/>
      <w:lvlJc w:val="left"/>
      <w:pPr>
        <w:tabs>
          <w:tab w:val="num" w:pos="0"/>
        </w:tabs>
        <w:ind w:left="864" w:hanging="864"/>
      </w:pPr>
      <w:rPr>
        <w:rFonts w:hint="default"/>
      </w:rPr>
    </w:lvl>
    <w:lvl w:ilvl="4">
      <w:start w:val="1"/>
      <w:numFmt w:val="decimal"/>
      <w:pStyle w:val="Ttulo5"/>
      <w:lvlText w:val="%1.%2.%3.%4.%5"/>
      <w:lvlJc w:val="left"/>
      <w:pPr>
        <w:tabs>
          <w:tab w:val="num" w:pos="0"/>
        </w:tabs>
        <w:ind w:left="1008" w:hanging="1008"/>
      </w:pPr>
      <w:rPr>
        <w:rFonts w:hint="default"/>
      </w:rPr>
    </w:lvl>
    <w:lvl w:ilvl="5">
      <w:start w:val="1"/>
      <w:numFmt w:val="decimal"/>
      <w:pStyle w:val="Ttulo6"/>
      <w:lvlText w:val="%1.%2.%3.%4.%5.%6"/>
      <w:lvlJc w:val="left"/>
      <w:pPr>
        <w:tabs>
          <w:tab w:val="num" w:pos="0"/>
        </w:tabs>
        <w:ind w:left="1152" w:hanging="1152"/>
      </w:pPr>
      <w:rPr>
        <w:rFonts w:hint="default"/>
      </w:rPr>
    </w:lvl>
    <w:lvl w:ilvl="6">
      <w:start w:val="1"/>
      <w:numFmt w:val="decimal"/>
      <w:pStyle w:val="Ttulo7"/>
      <w:lvlText w:val="%1.%2.%3.%4.%5.%6.%7"/>
      <w:lvlJc w:val="left"/>
      <w:pPr>
        <w:tabs>
          <w:tab w:val="num" w:pos="0"/>
        </w:tabs>
        <w:ind w:left="1296" w:hanging="1296"/>
      </w:pPr>
      <w:rPr>
        <w:rFonts w:hint="default"/>
      </w:rPr>
    </w:lvl>
    <w:lvl w:ilvl="7">
      <w:start w:val="1"/>
      <w:numFmt w:val="decimal"/>
      <w:pStyle w:val="Ttulo8"/>
      <w:lvlText w:val="%1.%2.%3.%4.%5.%6.%7.%8"/>
      <w:lvlJc w:val="left"/>
      <w:pPr>
        <w:tabs>
          <w:tab w:val="num" w:pos="0"/>
        </w:tabs>
        <w:ind w:left="1440" w:hanging="1440"/>
      </w:pPr>
      <w:rPr>
        <w:rFonts w:hint="default"/>
      </w:rPr>
    </w:lvl>
    <w:lvl w:ilvl="8">
      <w:start w:val="1"/>
      <w:numFmt w:val="decimal"/>
      <w:pStyle w:val="Ttulo9"/>
      <w:lvlText w:val="%1.%2.%3.%4.%5.%6.%7.%8.%9"/>
      <w:lvlJc w:val="left"/>
      <w:pPr>
        <w:tabs>
          <w:tab w:val="num" w:pos="0"/>
        </w:tabs>
        <w:ind w:left="1584" w:hanging="1584"/>
      </w:pPr>
      <w:rPr>
        <w:rFonts w:hint="default"/>
      </w:rPr>
    </w:lvl>
  </w:abstractNum>
  <w:abstractNum w:abstractNumId="9">
    <w:nsid w:val="64677D39"/>
    <w:multiLevelType w:val="hybridMultilevel"/>
    <w:tmpl w:val="91A292A2"/>
    <w:lvl w:ilvl="0" w:tplc="734499C8">
      <w:start w:val="1"/>
      <w:numFmt w:val="upperRoman"/>
      <w:lvlText w:val="%1."/>
      <w:lvlJc w:val="left"/>
      <w:pPr>
        <w:ind w:left="765" w:hanging="720"/>
      </w:pPr>
      <w:rPr>
        <w:rFonts w:hint="default"/>
      </w:r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nsid w:val="66D831D0"/>
    <w:multiLevelType w:val="hybridMultilevel"/>
    <w:tmpl w:val="1E8C631E"/>
    <w:lvl w:ilvl="0" w:tplc="100A0019">
      <w:start w:val="1"/>
      <w:numFmt w:val="lowerLetter"/>
      <w:lvlText w:val="%1."/>
      <w:lvlJc w:val="left"/>
      <w:pPr>
        <w:ind w:left="144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70C3446F"/>
    <w:multiLevelType w:val="hybridMultilevel"/>
    <w:tmpl w:val="C38088CC"/>
    <w:lvl w:ilvl="0" w:tplc="100A0015">
      <w:start w:val="1"/>
      <w:numFmt w:val="upp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nsid w:val="73793373"/>
    <w:multiLevelType w:val="hybridMultilevel"/>
    <w:tmpl w:val="C84CB78C"/>
    <w:lvl w:ilvl="0" w:tplc="100A0015">
      <w:start w:val="1"/>
      <w:numFmt w:val="upperLetter"/>
      <w:lvlText w:val="%1."/>
      <w:lvlJc w:val="left"/>
      <w:pPr>
        <w:ind w:left="720" w:hanging="360"/>
      </w:pPr>
      <w:rPr>
        <w:rFonts w:hint="default"/>
      </w:r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8"/>
  </w:num>
  <w:num w:numId="2">
    <w:abstractNumId w:val="2"/>
  </w:num>
  <w:num w:numId="3">
    <w:abstractNumId w:val="12"/>
  </w:num>
  <w:num w:numId="4">
    <w:abstractNumId w:val="11"/>
  </w:num>
  <w:num w:numId="5">
    <w:abstractNumId w:val="3"/>
  </w:num>
  <w:num w:numId="6">
    <w:abstractNumId w:val="4"/>
  </w:num>
  <w:num w:numId="7">
    <w:abstractNumId w:val="5"/>
  </w:num>
  <w:num w:numId="8">
    <w:abstractNumId w:val="9"/>
  </w:num>
  <w:num w:numId="9">
    <w:abstractNumId w:val="7"/>
  </w:num>
  <w:num w:numId="10">
    <w:abstractNumId w:val="6"/>
  </w:num>
  <w:num w:numId="11">
    <w:abstractNumId w:val="10"/>
  </w:num>
  <w:num w:numId="12">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28F6"/>
    <w:rsid w:val="00000271"/>
    <w:rsid w:val="00001941"/>
    <w:rsid w:val="00001FCE"/>
    <w:rsid w:val="000026A6"/>
    <w:rsid w:val="00002C71"/>
    <w:rsid w:val="00002F20"/>
    <w:rsid w:val="00006BC5"/>
    <w:rsid w:val="00006C7E"/>
    <w:rsid w:val="00006DD0"/>
    <w:rsid w:val="00006E08"/>
    <w:rsid w:val="0000712C"/>
    <w:rsid w:val="00007971"/>
    <w:rsid w:val="00011502"/>
    <w:rsid w:val="00011C9C"/>
    <w:rsid w:val="00013358"/>
    <w:rsid w:val="00013E0C"/>
    <w:rsid w:val="000166C1"/>
    <w:rsid w:val="00017B3B"/>
    <w:rsid w:val="00017B82"/>
    <w:rsid w:val="00022538"/>
    <w:rsid w:val="000249ED"/>
    <w:rsid w:val="00025229"/>
    <w:rsid w:val="00025284"/>
    <w:rsid w:val="00025E2C"/>
    <w:rsid w:val="0002656E"/>
    <w:rsid w:val="000270F6"/>
    <w:rsid w:val="000277A1"/>
    <w:rsid w:val="00030AE6"/>
    <w:rsid w:val="00031261"/>
    <w:rsid w:val="00032094"/>
    <w:rsid w:val="0003319E"/>
    <w:rsid w:val="00033469"/>
    <w:rsid w:val="000335A6"/>
    <w:rsid w:val="000339BE"/>
    <w:rsid w:val="0003552B"/>
    <w:rsid w:val="000356E9"/>
    <w:rsid w:val="00036623"/>
    <w:rsid w:val="00037093"/>
    <w:rsid w:val="0003764E"/>
    <w:rsid w:val="00040E5B"/>
    <w:rsid w:val="00041492"/>
    <w:rsid w:val="000417AF"/>
    <w:rsid w:val="000462D9"/>
    <w:rsid w:val="000463B8"/>
    <w:rsid w:val="00047128"/>
    <w:rsid w:val="00050464"/>
    <w:rsid w:val="00050A01"/>
    <w:rsid w:val="00050D2F"/>
    <w:rsid w:val="000514DA"/>
    <w:rsid w:val="000520A7"/>
    <w:rsid w:val="00052BF0"/>
    <w:rsid w:val="00053842"/>
    <w:rsid w:val="00054D29"/>
    <w:rsid w:val="0005699A"/>
    <w:rsid w:val="00057F62"/>
    <w:rsid w:val="00060431"/>
    <w:rsid w:val="00062367"/>
    <w:rsid w:val="00065510"/>
    <w:rsid w:val="00065527"/>
    <w:rsid w:val="00065D4A"/>
    <w:rsid w:val="00065E12"/>
    <w:rsid w:val="00066682"/>
    <w:rsid w:val="00067496"/>
    <w:rsid w:val="00067C62"/>
    <w:rsid w:val="00071A03"/>
    <w:rsid w:val="00072145"/>
    <w:rsid w:val="00072F75"/>
    <w:rsid w:val="00073C9A"/>
    <w:rsid w:val="00074713"/>
    <w:rsid w:val="00075770"/>
    <w:rsid w:val="000763E5"/>
    <w:rsid w:val="000771C4"/>
    <w:rsid w:val="000775C1"/>
    <w:rsid w:val="00080461"/>
    <w:rsid w:val="00080562"/>
    <w:rsid w:val="00080C7D"/>
    <w:rsid w:val="00080D50"/>
    <w:rsid w:val="000817A9"/>
    <w:rsid w:val="00081B1C"/>
    <w:rsid w:val="00082035"/>
    <w:rsid w:val="000830DF"/>
    <w:rsid w:val="00084505"/>
    <w:rsid w:val="0008463A"/>
    <w:rsid w:val="00084D8F"/>
    <w:rsid w:val="00085734"/>
    <w:rsid w:val="00085B6E"/>
    <w:rsid w:val="00085EBA"/>
    <w:rsid w:val="00085F77"/>
    <w:rsid w:val="0008753F"/>
    <w:rsid w:val="00087634"/>
    <w:rsid w:val="00087866"/>
    <w:rsid w:val="00087D08"/>
    <w:rsid w:val="000912DD"/>
    <w:rsid w:val="00091DAD"/>
    <w:rsid w:val="0009220D"/>
    <w:rsid w:val="00092468"/>
    <w:rsid w:val="00095237"/>
    <w:rsid w:val="000967ED"/>
    <w:rsid w:val="000A01E7"/>
    <w:rsid w:val="000A0AA2"/>
    <w:rsid w:val="000A15FF"/>
    <w:rsid w:val="000A36B5"/>
    <w:rsid w:val="000A4D61"/>
    <w:rsid w:val="000A4F25"/>
    <w:rsid w:val="000A54A7"/>
    <w:rsid w:val="000A698B"/>
    <w:rsid w:val="000A71A1"/>
    <w:rsid w:val="000A77DC"/>
    <w:rsid w:val="000B006C"/>
    <w:rsid w:val="000B0E01"/>
    <w:rsid w:val="000B2527"/>
    <w:rsid w:val="000B3701"/>
    <w:rsid w:val="000B4F22"/>
    <w:rsid w:val="000B5414"/>
    <w:rsid w:val="000B5888"/>
    <w:rsid w:val="000B60B9"/>
    <w:rsid w:val="000B62C6"/>
    <w:rsid w:val="000B7AA2"/>
    <w:rsid w:val="000C0344"/>
    <w:rsid w:val="000C0DC4"/>
    <w:rsid w:val="000C1A25"/>
    <w:rsid w:val="000C1A68"/>
    <w:rsid w:val="000C279B"/>
    <w:rsid w:val="000C2A92"/>
    <w:rsid w:val="000C36B4"/>
    <w:rsid w:val="000C3C34"/>
    <w:rsid w:val="000C4AD7"/>
    <w:rsid w:val="000C4D67"/>
    <w:rsid w:val="000C53BE"/>
    <w:rsid w:val="000C6E8D"/>
    <w:rsid w:val="000C75FE"/>
    <w:rsid w:val="000D0A1C"/>
    <w:rsid w:val="000D10F4"/>
    <w:rsid w:val="000D3BEF"/>
    <w:rsid w:val="000D3CE8"/>
    <w:rsid w:val="000D4A27"/>
    <w:rsid w:val="000D5D6E"/>
    <w:rsid w:val="000D777E"/>
    <w:rsid w:val="000D786F"/>
    <w:rsid w:val="000D7E66"/>
    <w:rsid w:val="000E01E0"/>
    <w:rsid w:val="000E0C87"/>
    <w:rsid w:val="000E1F0E"/>
    <w:rsid w:val="000E34DD"/>
    <w:rsid w:val="000E35D4"/>
    <w:rsid w:val="000E43D0"/>
    <w:rsid w:val="000E448D"/>
    <w:rsid w:val="000E4B70"/>
    <w:rsid w:val="000E7D80"/>
    <w:rsid w:val="000F0CC7"/>
    <w:rsid w:val="000F0F53"/>
    <w:rsid w:val="000F304B"/>
    <w:rsid w:val="000F31D3"/>
    <w:rsid w:val="000F4303"/>
    <w:rsid w:val="000F6870"/>
    <w:rsid w:val="000F7C84"/>
    <w:rsid w:val="001009A6"/>
    <w:rsid w:val="00100C95"/>
    <w:rsid w:val="00102201"/>
    <w:rsid w:val="00102469"/>
    <w:rsid w:val="0010274A"/>
    <w:rsid w:val="001038B1"/>
    <w:rsid w:val="0010443F"/>
    <w:rsid w:val="001060A5"/>
    <w:rsid w:val="00107E6D"/>
    <w:rsid w:val="001106C1"/>
    <w:rsid w:val="00111E81"/>
    <w:rsid w:val="0011363F"/>
    <w:rsid w:val="0011402D"/>
    <w:rsid w:val="0011418E"/>
    <w:rsid w:val="0011469F"/>
    <w:rsid w:val="0011619F"/>
    <w:rsid w:val="0011651D"/>
    <w:rsid w:val="00116540"/>
    <w:rsid w:val="00117403"/>
    <w:rsid w:val="00117A88"/>
    <w:rsid w:val="00117FC2"/>
    <w:rsid w:val="00121013"/>
    <w:rsid w:val="0012373F"/>
    <w:rsid w:val="00124AD6"/>
    <w:rsid w:val="00124E70"/>
    <w:rsid w:val="00125647"/>
    <w:rsid w:val="00126FB8"/>
    <w:rsid w:val="00131670"/>
    <w:rsid w:val="00131980"/>
    <w:rsid w:val="00131BC0"/>
    <w:rsid w:val="001339AA"/>
    <w:rsid w:val="00134C27"/>
    <w:rsid w:val="0013520D"/>
    <w:rsid w:val="00136F4B"/>
    <w:rsid w:val="00137470"/>
    <w:rsid w:val="001422F2"/>
    <w:rsid w:val="00142A1E"/>
    <w:rsid w:val="001432F1"/>
    <w:rsid w:val="0014364E"/>
    <w:rsid w:val="001457E7"/>
    <w:rsid w:val="00146383"/>
    <w:rsid w:val="00150099"/>
    <w:rsid w:val="00150901"/>
    <w:rsid w:val="00152A09"/>
    <w:rsid w:val="00153337"/>
    <w:rsid w:val="001541E7"/>
    <w:rsid w:val="00154855"/>
    <w:rsid w:val="00160059"/>
    <w:rsid w:val="00160835"/>
    <w:rsid w:val="00160A89"/>
    <w:rsid w:val="001611FC"/>
    <w:rsid w:val="00163055"/>
    <w:rsid w:val="00164C3E"/>
    <w:rsid w:val="0016665C"/>
    <w:rsid w:val="00166AB2"/>
    <w:rsid w:val="00167975"/>
    <w:rsid w:val="00170963"/>
    <w:rsid w:val="00170E9E"/>
    <w:rsid w:val="00171AA8"/>
    <w:rsid w:val="00171DBC"/>
    <w:rsid w:val="00172283"/>
    <w:rsid w:val="00173649"/>
    <w:rsid w:val="001749CE"/>
    <w:rsid w:val="00174DDC"/>
    <w:rsid w:val="0017542C"/>
    <w:rsid w:val="001756B5"/>
    <w:rsid w:val="00175C23"/>
    <w:rsid w:val="00180854"/>
    <w:rsid w:val="00180A0E"/>
    <w:rsid w:val="00181D3E"/>
    <w:rsid w:val="0019039C"/>
    <w:rsid w:val="00190F0E"/>
    <w:rsid w:val="00191216"/>
    <w:rsid w:val="00191AE8"/>
    <w:rsid w:val="00191C70"/>
    <w:rsid w:val="00194D4C"/>
    <w:rsid w:val="00195D8B"/>
    <w:rsid w:val="001960E2"/>
    <w:rsid w:val="001966ED"/>
    <w:rsid w:val="001A0DE9"/>
    <w:rsid w:val="001A137C"/>
    <w:rsid w:val="001A28AD"/>
    <w:rsid w:val="001A2D5E"/>
    <w:rsid w:val="001A50D4"/>
    <w:rsid w:val="001A5C6B"/>
    <w:rsid w:val="001A613A"/>
    <w:rsid w:val="001B07B2"/>
    <w:rsid w:val="001B2234"/>
    <w:rsid w:val="001B2E57"/>
    <w:rsid w:val="001B3D8A"/>
    <w:rsid w:val="001B3DDB"/>
    <w:rsid w:val="001B4259"/>
    <w:rsid w:val="001B4C14"/>
    <w:rsid w:val="001B5A69"/>
    <w:rsid w:val="001B656E"/>
    <w:rsid w:val="001B69BD"/>
    <w:rsid w:val="001B7DD0"/>
    <w:rsid w:val="001C1168"/>
    <w:rsid w:val="001C2713"/>
    <w:rsid w:val="001C2DAF"/>
    <w:rsid w:val="001C4C02"/>
    <w:rsid w:val="001C5216"/>
    <w:rsid w:val="001C5775"/>
    <w:rsid w:val="001C6241"/>
    <w:rsid w:val="001C6FB1"/>
    <w:rsid w:val="001C7CA7"/>
    <w:rsid w:val="001C7CDF"/>
    <w:rsid w:val="001C7D2A"/>
    <w:rsid w:val="001C7DC2"/>
    <w:rsid w:val="001D07B2"/>
    <w:rsid w:val="001D0D64"/>
    <w:rsid w:val="001D2E72"/>
    <w:rsid w:val="001D57B1"/>
    <w:rsid w:val="001D5D2B"/>
    <w:rsid w:val="001D69A2"/>
    <w:rsid w:val="001D7553"/>
    <w:rsid w:val="001D785F"/>
    <w:rsid w:val="001E02BB"/>
    <w:rsid w:val="001E12CD"/>
    <w:rsid w:val="001E1E63"/>
    <w:rsid w:val="001E2B73"/>
    <w:rsid w:val="001E2EF8"/>
    <w:rsid w:val="001E3DB7"/>
    <w:rsid w:val="001E6DEE"/>
    <w:rsid w:val="001E6F40"/>
    <w:rsid w:val="001F078C"/>
    <w:rsid w:val="001F0BC8"/>
    <w:rsid w:val="001F13DC"/>
    <w:rsid w:val="001F15A4"/>
    <w:rsid w:val="001F2A2B"/>
    <w:rsid w:val="001F43C8"/>
    <w:rsid w:val="001F5849"/>
    <w:rsid w:val="001F58C5"/>
    <w:rsid w:val="001F74FB"/>
    <w:rsid w:val="00200269"/>
    <w:rsid w:val="00201D05"/>
    <w:rsid w:val="00203DB9"/>
    <w:rsid w:val="002041A8"/>
    <w:rsid w:val="00204263"/>
    <w:rsid w:val="002042CC"/>
    <w:rsid w:val="00204AEC"/>
    <w:rsid w:val="00204CE1"/>
    <w:rsid w:val="00204E00"/>
    <w:rsid w:val="00205147"/>
    <w:rsid w:val="00205BBD"/>
    <w:rsid w:val="0020645A"/>
    <w:rsid w:val="00206BE7"/>
    <w:rsid w:val="00211FAE"/>
    <w:rsid w:val="002126FE"/>
    <w:rsid w:val="002139A8"/>
    <w:rsid w:val="00215585"/>
    <w:rsid w:val="00215592"/>
    <w:rsid w:val="00215D20"/>
    <w:rsid w:val="0021606F"/>
    <w:rsid w:val="0021669B"/>
    <w:rsid w:val="002213F6"/>
    <w:rsid w:val="002215DA"/>
    <w:rsid w:val="00221D8E"/>
    <w:rsid w:val="00221DC9"/>
    <w:rsid w:val="00222913"/>
    <w:rsid w:val="00222E74"/>
    <w:rsid w:val="002239F6"/>
    <w:rsid w:val="0022647B"/>
    <w:rsid w:val="00227D1F"/>
    <w:rsid w:val="0023230B"/>
    <w:rsid w:val="002403F9"/>
    <w:rsid w:val="00243EA4"/>
    <w:rsid w:val="00244244"/>
    <w:rsid w:val="00245DF7"/>
    <w:rsid w:val="00246614"/>
    <w:rsid w:val="00246B8D"/>
    <w:rsid w:val="00250229"/>
    <w:rsid w:val="0025124D"/>
    <w:rsid w:val="00251E1C"/>
    <w:rsid w:val="00252FE7"/>
    <w:rsid w:val="00253236"/>
    <w:rsid w:val="0025344F"/>
    <w:rsid w:val="00253E46"/>
    <w:rsid w:val="00255AF8"/>
    <w:rsid w:val="00255B7C"/>
    <w:rsid w:val="00256FA8"/>
    <w:rsid w:val="00257A94"/>
    <w:rsid w:val="00260546"/>
    <w:rsid w:val="00260C73"/>
    <w:rsid w:val="002610D3"/>
    <w:rsid w:val="00261602"/>
    <w:rsid w:val="00263C1E"/>
    <w:rsid w:val="00264910"/>
    <w:rsid w:val="00264FBA"/>
    <w:rsid w:val="00265DA8"/>
    <w:rsid w:val="0027470A"/>
    <w:rsid w:val="00274AF0"/>
    <w:rsid w:val="00274F39"/>
    <w:rsid w:val="00277526"/>
    <w:rsid w:val="00280A6A"/>
    <w:rsid w:val="00280E60"/>
    <w:rsid w:val="00281298"/>
    <w:rsid w:val="0028148E"/>
    <w:rsid w:val="00281FCD"/>
    <w:rsid w:val="00284088"/>
    <w:rsid w:val="0028530C"/>
    <w:rsid w:val="002861B8"/>
    <w:rsid w:val="00286A67"/>
    <w:rsid w:val="00287473"/>
    <w:rsid w:val="00287F49"/>
    <w:rsid w:val="002906B2"/>
    <w:rsid w:val="00290FF6"/>
    <w:rsid w:val="0029118F"/>
    <w:rsid w:val="00292D4F"/>
    <w:rsid w:val="00292F2F"/>
    <w:rsid w:val="00294F1B"/>
    <w:rsid w:val="002956B8"/>
    <w:rsid w:val="002958FB"/>
    <w:rsid w:val="0029692B"/>
    <w:rsid w:val="002A0B27"/>
    <w:rsid w:val="002A332E"/>
    <w:rsid w:val="002A55A1"/>
    <w:rsid w:val="002A5624"/>
    <w:rsid w:val="002A6BC2"/>
    <w:rsid w:val="002A6F3B"/>
    <w:rsid w:val="002A7078"/>
    <w:rsid w:val="002B0831"/>
    <w:rsid w:val="002B0A77"/>
    <w:rsid w:val="002B0EEB"/>
    <w:rsid w:val="002B0FB0"/>
    <w:rsid w:val="002B44C0"/>
    <w:rsid w:val="002B62DF"/>
    <w:rsid w:val="002B634A"/>
    <w:rsid w:val="002B7181"/>
    <w:rsid w:val="002B76AA"/>
    <w:rsid w:val="002C13CC"/>
    <w:rsid w:val="002C169B"/>
    <w:rsid w:val="002C1AE9"/>
    <w:rsid w:val="002C3219"/>
    <w:rsid w:val="002C3A6A"/>
    <w:rsid w:val="002C3D99"/>
    <w:rsid w:val="002C6B76"/>
    <w:rsid w:val="002C7DD6"/>
    <w:rsid w:val="002D1DDF"/>
    <w:rsid w:val="002D3BBB"/>
    <w:rsid w:val="002D786C"/>
    <w:rsid w:val="002D7EED"/>
    <w:rsid w:val="002E073E"/>
    <w:rsid w:val="002E0BC8"/>
    <w:rsid w:val="002E0D7D"/>
    <w:rsid w:val="002E0FD6"/>
    <w:rsid w:val="002E1458"/>
    <w:rsid w:val="002E31F9"/>
    <w:rsid w:val="002E3253"/>
    <w:rsid w:val="002E5B6B"/>
    <w:rsid w:val="002F0F87"/>
    <w:rsid w:val="002F1F2B"/>
    <w:rsid w:val="002F3A71"/>
    <w:rsid w:val="002F3B68"/>
    <w:rsid w:val="002F4543"/>
    <w:rsid w:val="002F4E2F"/>
    <w:rsid w:val="002F59F1"/>
    <w:rsid w:val="002F6C98"/>
    <w:rsid w:val="002F6E1E"/>
    <w:rsid w:val="002F747D"/>
    <w:rsid w:val="00300FD8"/>
    <w:rsid w:val="0030204D"/>
    <w:rsid w:val="00302458"/>
    <w:rsid w:val="003031DB"/>
    <w:rsid w:val="003031E1"/>
    <w:rsid w:val="003034E7"/>
    <w:rsid w:val="00303A11"/>
    <w:rsid w:val="003048DC"/>
    <w:rsid w:val="00304DFD"/>
    <w:rsid w:val="003058C4"/>
    <w:rsid w:val="00306A29"/>
    <w:rsid w:val="00307213"/>
    <w:rsid w:val="003075D1"/>
    <w:rsid w:val="00310004"/>
    <w:rsid w:val="003115D1"/>
    <w:rsid w:val="003163CB"/>
    <w:rsid w:val="00316541"/>
    <w:rsid w:val="0031796F"/>
    <w:rsid w:val="0032032E"/>
    <w:rsid w:val="003211CD"/>
    <w:rsid w:val="00321356"/>
    <w:rsid w:val="00321F48"/>
    <w:rsid w:val="00324198"/>
    <w:rsid w:val="00324A91"/>
    <w:rsid w:val="00325386"/>
    <w:rsid w:val="00327305"/>
    <w:rsid w:val="003274F7"/>
    <w:rsid w:val="0033026A"/>
    <w:rsid w:val="003360AD"/>
    <w:rsid w:val="003365B1"/>
    <w:rsid w:val="00340155"/>
    <w:rsid w:val="003403AF"/>
    <w:rsid w:val="00341191"/>
    <w:rsid w:val="003417DC"/>
    <w:rsid w:val="00341E49"/>
    <w:rsid w:val="00342AAF"/>
    <w:rsid w:val="0034304B"/>
    <w:rsid w:val="00343CFB"/>
    <w:rsid w:val="0034463A"/>
    <w:rsid w:val="00345F54"/>
    <w:rsid w:val="00347C7E"/>
    <w:rsid w:val="00347FB7"/>
    <w:rsid w:val="00352B41"/>
    <w:rsid w:val="00352DE7"/>
    <w:rsid w:val="003543EF"/>
    <w:rsid w:val="00355326"/>
    <w:rsid w:val="003563D1"/>
    <w:rsid w:val="00356BF7"/>
    <w:rsid w:val="00356E86"/>
    <w:rsid w:val="0035762A"/>
    <w:rsid w:val="003577EE"/>
    <w:rsid w:val="00361AE8"/>
    <w:rsid w:val="003637E9"/>
    <w:rsid w:val="00363B6B"/>
    <w:rsid w:val="00363F31"/>
    <w:rsid w:val="00364A3A"/>
    <w:rsid w:val="00365791"/>
    <w:rsid w:val="00365D39"/>
    <w:rsid w:val="0036693C"/>
    <w:rsid w:val="003679D2"/>
    <w:rsid w:val="00373668"/>
    <w:rsid w:val="00375355"/>
    <w:rsid w:val="00375966"/>
    <w:rsid w:val="00375F88"/>
    <w:rsid w:val="00376563"/>
    <w:rsid w:val="00377E43"/>
    <w:rsid w:val="00380647"/>
    <w:rsid w:val="00382593"/>
    <w:rsid w:val="00384199"/>
    <w:rsid w:val="00387CCA"/>
    <w:rsid w:val="003902FF"/>
    <w:rsid w:val="00391CED"/>
    <w:rsid w:val="003937AC"/>
    <w:rsid w:val="00397BDB"/>
    <w:rsid w:val="003A1052"/>
    <w:rsid w:val="003A1DD3"/>
    <w:rsid w:val="003A2487"/>
    <w:rsid w:val="003A3DE7"/>
    <w:rsid w:val="003A4595"/>
    <w:rsid w:val="003A5ECB"/>
    <w:rsid w:val="003A7822"/>
    <w:rsid w:val="003B014D"/>
    <w:rsid w:val="003B0A7E"/>
    <w:rsid w:val="003B0D27"/>
    <w:rsid w:val="003B0DF7"/>
    <w:rsid w:val="003B2C58"/>
    <w:rsid w:val="003B2D1B"/>
    <w:rsid w:val="003B3299"/>
    <w:rsid w:val="003B526E"/>
    <w:rsid w:val="003B647D"/>
    <w:rsid w:val="003B686B"/>
    <w:rsid w:val="003C033C"/>
    <w:rsid w:val="003C0489"/>
    <w:rsid w:val="003C0613"/>
    <w:rsid w:val="003C088A"/>
    <w:rsid w:val="003C0AC8"/>
    <w:rsid w:val="003C1260"/>
    <w:rsid w:val="003C1B74"/>
    <w:rsid w:val="003C37FA"/>
    <w:rsid w:val="003C72A7"/>
    <w:rsid w:val="003C7D41"/>
    <w:rsid w:val="003D02B4"/>
    <w:rsid w:val="003D1187"/>
    <w:rsid w:val="003D195F"/>
    <w:rsid w:val="003D2115"/>
    <w:rsid w:val="003D2AF4"/>
    <w:rsid w:val="003D3143"/>
    <w:rsid w:val="003D3435"/>
    <w:rsid w:val="003D4A69"/>
    <w:rsid w:val="003E005F"/>
    <w:rsid w:val="003E0412"/>
    <w:rsid w:val="003E15D6"/>
    <w:rsid w:val="003E2769"/>
    <w:rsid w:val="003E5087"/>
    <w:rsid w:val="003E5764"/>
    <w:rsid w:val="003E59DE"/>
    <w:rsid w:val="003E59EE"/>
    <w:rsid w:val="003E6882"/>
    <w:rsid w:val="003E7770"/>
    <w:rsid w:val="003F022C"/>
    <w:rsid w:val="003F2AC5"/>
    <w:rsid w:val="003F2CBA"/>
    <w:rsid w:val="003F4BAA"/>
    <w:rsid w:val="003F669A"/>
    <w:rsid w:val="003F75FE"/>
    <w:rsid w:val="003F76FF"/>
    <w:rsid w:val="004015E2"/>
    <w:rsid w:val="004016A4"/>
    <w:rsid w:val="004019DF"/>
    <w:rsid w:val="004020FA"/>
    <w:rsid w:val="00404906"/>
    <w:rsid w:val="00404D10"/>
    <w:rsid w:val="00404E7B"/>
    <w:rsid w:val="00406C70"/>
    <w:rsid w:val="00410274"/>
    <w:rsid w:val="00410C60"/>
    <w:rsid w:val="0041158A"/>
    <w:rsid w:val="00415127"/>
    <w:rsid w:val="00417899"/>
    <w:rsid w:val="00420DCC"/>
    <w:rsid w:val="00422CBB"/>
    <w:rsid w:val="00422D9F"/>
    <w:rsid w:val="0042346E"/>
    <w:rsid w:val="00424044"/>
    <w:rsid w:val="0042416B"/>
    <w:rsid w:val="004247FA"/>
    <w:rsid w:val="00427BC4"/>
    <w:rsid w:val="00430779"/>
    <w:rsid w:val="00430CB0"/>
    <w:rsid w:val="004337DE"/>
    <w:rsid w:val="0043392F"/>
    <w:rsid w:val="00433ED8"/>
    <w:rsid w:val="00434642"/>
    <w:rsid w:val="00434E29"/>
    <w:rsid w:val="004359F2"/>
    <w:rsid w:val="00435DAF"/>
    <w:rsid w:val="004372F7"/>
    <w:rsid w:val="0043775E"/>
    <w:rsid w:val="00441836"/>
    <w:rsid w:val="00442314"/>
    <w:rsid w:val="00442774"/>
    <w:rsid w:val="0044314A"/>
    <w:rsid w:val="004451F6"/>
    <w:rsid w:val="00445A16"/>
    <w:rsid w:val="00445E78"/>
    <w:rsid w:val="0045067B"/>
    <w:rsid w:val="004506BE"/>
    <w:rsid w:val="00450EB8"/>
    <w:rsid w:val="004521FC"/>
    <w:rsid w:val="00452D65"/>
    <w:rsid w:val="00454B60"/>
    <w:rsid w:val="00455AA7"/>
    <w:rsid w:val="00455FF3"/>
    <w:rsid w:val="00457178"/>
    <w:rsid w:val="0045761B"/>
    <w:rsid w:val="00457A70"/>
    <w:rsid w:val="00460764"/>
    <w:rsid w:val="00460B46"/>
    <w:rsid w:val="004617E0"/>
    <w:rsid w:val="00461936"/>
    <w:rsid w:val="00461F46"/>
    <w:rsid w:val="004620FA"/>
    <w:rsid w:val="00463827"/>
    <w:rsid w:val="0046447D"/>
    <w:rsid w:val="004648D4"/>
    <w:rsid w:val="0046669C"/>
    <w:rsid w:val="004669E3"/>
    <w:rsid w:val="004671A3"/>
    <w:rsid w:val="0046725D"/>
    <w:rsid w:val="00470395"/>
    <w:rsid w:val="0047254C"/>
    <w:rsid w:val="00472614"/>
    <w:rsid w:val="00472764"/>
    <w:rsid w:val="004734B2"/>
    <w:rsid w:val="004734DA"/>
    <w:rsid w:val="00473543"/>
    <w:rsid w:val="00474AC5"/>
    <w:rsid w:val="00475D90"/>
    <w:rsid w:val="00476016"/>
    <w:rsid w:val="00480617"/>
    <w:rsid w:val="00481687"/>
    <w:rsid w:val="00482A22"/>
    <w:rsid w:val="00483CD5"/>
    <w:rsid w:val="00485D75"/>
    <w:rsid w:val="004871C3"/>
    <w:rsid w:val="004874F3"/>
    <w:rsid w:val="0048768D"/>
    <w:rsid w:val="004907E9"/>
    <w:rsid w:val="00490B49"/>
    <w:rsid w:val="0049117B"/>
    <w:rsid w:val="00494EE3"/>
    <w:rsid w:val="00497B54"/>
    <w:rsid w:val="00497C90"/>
    <w:rsid w:val="004A0C3C"/>
    <w:rsid w:val="004A13A7"/>
    <w:rsid w:val="004A16D8"/>
    <w:rsid w:val="004A215E"/>
    <w:rsid w:val="004A2526"/>
    <w:rsid w:val="004A2E81"/>
    <w:rsid w:val="004A2F11"/>
    <w:rsid w:val="004A4980"/>
    <w:rsid w:val="004A5793"/>
    <w:rsid w:val="004A689C"/>
    <w:rsid w:val="004B04CC"/>
    <w:rsid w:val="004B1701"/>
    <w:rsid w:val="004B1F3E"/>
    <w:rsid w:val="004B2554"/>
    <w:rsid w:val="004B308C"/>
    <w:rsid w:val="004B5D76"/>
    <w:rsid w:val="004B710F"/>
    <w:rsid w:val="004C0725"/>
    <w:rsid w:val="004C0853"/>
    <w:rsid w:val="004C0B59"/>
    <w:rsid w:val="004C33CC"/>
    <w:rsid w:val="004C59DC"/>
    <w:rsid w:val="004C5F5E"/>
    <w:rsid w:val="004C787C"/>
    <w:rsid w:val="004D049B"/>
    <w:rsid w:val="004D1597"/>
    <w:rsid w:val="004D1735"/>
    <w:rsid w:val="004D19C8"/>
    <w:rsid w:val="004D2C6F"/>
    <w:rsid w:val="004D38C1"/>
    <w:rsid w:val="004D3EA5"/>
    <w:rsid w:val="004D4920"/>
    <w:rsid w:val="004D5491"/>
    <w:rsid w:val="004D5C4A"/>
    <w:rsid w:val="004D60D5"/>
    <w:rsid w:val="004D6175"/>
    <w:rsid w:val="004D6968"/>
    <w:rsid w:val="004E03B3"/>
    <w:rsid w:val="004E346A"/>
    <w:rsid w:val="004E438A"/>
    <w:rsid w:val="004E678D"/>
    <w:rsid w:val="004E6B51"/>
    <w:rsid w:val="004E7D32"/>
    <w:rsid w:val="004F0A9D"/>
    <w:rsid w:val="004F1887"/>
    <w:rsid w:val="004F1C7A"/>
    <w:rsid w:val="004F320D"/>
    <w:rsid w:val="004F34F7"/>
    <w:rsid w:val="004F37CB"/>
    <w:rsid w:val="004F4633"/>
    <w:rsid w:val="004F5108"/>
    <w:rsid w:val="004F52F4"/>
    <w:rsid w:val="004F5766"/>
    <w:rsid w:val="004F596B"/>
    <w:rsid w:val="004F633A"/>
    <w:rsid w:val="00500393"/>
    <w:rsid w:val="00501530"/>
    <w:rsid w:val="0050180F"/>
    <w:rsid w:val="00502E9E"/>
    <w:rsid w:val="00506925"/>
    <w:rsid w:val="00506F0B"/>
    <w:rsid w:val="00510F8D"/>
    <w:rsid w:val="0051210E"/>
    <w:rsid w:val="00512FA6"/>
    <w:rsid w:val="00514715"/>
    <w:rsid w:val="00517564"/>
    <w:rsid w:val="005200C4"/>
    <w:rsid w:val="00521F46"/>
    <w:rsid w:val="00522B3D"/>
    <w:rsid w:val="00523005"/>
    <w:rsid w:val="0052348A"/>
    <w:rsid w:val="00523935"/>
    <w:rsid w:val="0052400C"/>
    <w:rsid w:val="00524611"/>
    <w:rsid w:val="00524B50"/>
    <w:rsid w:val="005260F4"/>
    <w:rsid w:val="00526481"/>
    <w:rsid w:val="00527489"/>
    <w:rsid w:val="0052784F"/>
    <w:rsid w:val="00527CCE"/>
    <w:rsid w:val="005303F0"/>
    <w:rsid w:val="0053146F"/>
    <w:rsid w:val="005314D1"/>
    <w:rsid w:val="005321A7"/>
    <w:rsid w:val="0053246B"/>
    <w:rsid w:val="005328F8"/>
    <w:rsid w:val="00532F99"/>
    <w:rsid w:val="005332EC"/>
    <w:rsid w:val="005339DB"/>
    <w:rsid w:val="00533FD2"/>
    <w:rsid w:val="00534E33"/>
    <w:rsid w:val="00536216"/>
    <w:rsid w:val="00536CE7"/>
    <w:rsid w:val="00536D9D"/>
    <w:rsid w:val="0053757E"/>
    <w:rsid w:val="005432D7"/>
    <w:rsid w:val="005457D2"/>
    <w:rsid w:val="005476F5"/>
    <w:rsid w:val="00547D32"/>
    <w:rsid w:val="00547DC9"/>
    <w:rsid w:val="0055487A"/>
    <w:rsid w:val="00555054"/>
    <w:rsid w:val="00555922"/>
    <w:rsid w:val="005563ED"/>
    <w:rsid w:val="00556474"/>
    <w:rsid w:val="00556830"/>
    <w:rsid w:val="00557714"/>
    <w:rsid w:val="00557944"/>
    <w:rsid w:val="00557996"/>
    <w:rsid w:val="005601C9"/>
    <w:rsid w:val="00560D51"/>
    <w:rsid w:val="005623C0"/>
    <w:rsid w:val="00563088"/>
    <w:rsid w:val="005644BD"/>
    <w:rsid w:val="00564A01"/>
    <w:rsid w:val="00565E58"/>
    <w:rsid w:val="005678DE"/>
    <w:rsid w:val="00567ADD"/>
    <w:rsid w:val="00570585"/>
    <w:rsid w:val="00571C86"/>
    <w:rsid w:val="00574B3E"/>
    <w:rsid w:val="00576583"/>
    <w:rsid w:val="00577829"/>
    <w:rsid w:val="0058066B"/>
    <w:rsid w:val="00580926"/>
    <w:rsid w:val="00580C05"/>
    <w:rsid w:val="00581D2B"/>
    <w:rsid w:val="00582B25"/>
    <w:rsid w:val="00582B6B"/>
    <w:rsid w:val="005838C9"/>
    <w:rsid w:val="00583EC1"/>
    <w:rsid w:val="00583FE6"/>
    <w:rsid w:val="00585ABA"/>
    <w:rsid w:val="00586960"/>
    <w:rsid w:val="005942E8"/>
    <w:rsid w:val="0059430A"/>
    <w:rsid w:val="00594C2F"/>
    <w:rsid w:val="0059533F"/>
    <w:rsid w:val="00596C04"/>
    <w:rsid w:val="005970B7"/>
    <w:rsid w:val="005976C5"/>
    <w:rsid w:val="00597B0E"/>
    <w:rsid w:val="005A01B6"/>
    <w:rsid w:val="005A0331"/>
    <w:rsid w:val="005A05F3"/>
    <w:rsid w:val="005A09EA"/>
    <w:rsid w:val="005A17B0"/>
    <w:rsid w:val="005A3542"/>
    <w:rsid w:val="005A370A"/>
    <w:rsid w:val="005A3FEB"/>
    <w:rsid w:val="005A73D6"/>
    <w:rsid w:val="005A7D3A"/>
    <w:rsid w:val="005A7D7C"/>
    <w:rsid w:val="005B1B2E"/>
    <w:rsid w:val="005B26F4"/>
    <w:rsid w:val="005B358A"/>
    <w:rsid w:val="005B4A2B"/>
    <w:rsid w:val="005B50BA"/>
    <w:rsid w:val="005B541E"/>
    <w:rsid w:val="005B56C5"/>
    <w:rsid w:val="005B5FBA"/>
    <w:rsid w:val="005C0E74"/>
    <w:rsid w:val="005C0EE0"/>
    <w:rsid w:val="005C1637"/>
    <w:rsid w:val="005C3EEB"/>
    <w:rsid w:val="005C7CAE"/>
    <w:rsid w:val="005C7CED"/>
    <w:rsid w:val="005D06A8"/>
    <w:rsid w:val="005D39D6"/>
    <w:rsid w:val="005D469E"/>
    <w:rsid w:val="005D4DF3"/>
    <w:rsid w:val="005D5407"/>
    <w:rsid w:val="005D60B5"/>
    <w:rsid w:val="005D6E54"/>
    <w:rsid w:val="005E02D0"/>
    <w:rsid w:val="005E07E2"/>
    <w:rsid w:val="005E1512"/>
    <w:rsid w:val="005E1875"/>
    <w:rsid w:val="005E3681"/>
    <w:rsid w:val="005E3C5A"/>
    <w:rsid w:val="005E3EA6"/>
    <w:rsid w:val="005E400E"/>
    <w:rsid w:val="005E42C6"/>
    <w:rsid w:val="005E4E2A"/>
    <w:rsid w:val="005E525A"/>
    <w:rsid w:val="005E5539"/>
    <w:rsid w:val="005E5B9E"/>
    <w:rsid w:val="005E6137"/>
    <w:rsid w:val="005F13A0"/>
    <w:rsid w:val="005F3662"/>
    <w:rsid w:val="005F5A0A"/>
    <w:rsid w:val="005F62EB"/>
    <w:rsid w:val="005F75BB"/>
    <w:rsid w:val="00600BF6"/>
    <w:rsid w:val="00601637"/>
    <w:rsid w:val="00601CF4"/>
    <w:rsid w:val="00602377"/>
    <w:rsid w:val="00602B36"/>
    <w:rsid w:val="006030D2"/>
    <w:rsid w:val="006048E5"/>
    <w:rsid w:val="00605361"/>
    <w:rsid w:val="00607375"/>
    <w:rsid w:val="0061008A"/>
    <w:rsid w:val="00610352"/>
    <w:rsid w:val="00610BEC"/>
    <w:rsid w:val="00612210"/>
    <w:rsid w:val="0061313E"/>
    <w:rsid w:val="006140D8"/>
    <w:rsid w:val="00614E1F"/>
    <w:rsid w:val="00615712"/>
    <w:rsid w:val="0061587B"/>
    <w:rsid w:val="0061590C"/>
    <w:rsid w:val="00616B1C"/>
    <w:rsid w:val="0061795D"/>
    <w:rsid w:val="00617AC2"/>
    <w:rsid w:val="00621EAC"/>
    <w:rsid w:val="00624DB0"/>
    <w:rsid w:val="00625719"/>
    <w:rsid w:val="00625BE6"/>
    <w:rsid w:val="00627F81"/>
    <w:rsid w:val="00630029"/>
    <w:rsid w:val="00630446"/>
    <w:rsid w:val="0063194D"/>
    <w:rsid w:val="00631AAA"/>
    <w:rsid w:val="0063283C"/>
    <w:rsid w:val="006349DA"/>
    <w:rsid w:val="00635115"/>
    <w:rsid w:val="006358A6"/>
    <w:rsid w:val="006369BD"/>
    <w:rsid w:val="00637588"/>
    <w:rsid w:val="00641EB4"/>
    <w:rsid w:val="00641F46"/>
    <w:rsid w:val="006424E6"/>
    <w:rsid w:val="00642A60"/>
    <w:rsid w:val="00643DBD"/>
    <w:rsid w:val="006469FA"/>
    <w:rsid w:val="00647022"/>
    <w:rsid w:val="00647E09"/>
    <w:rsid w:val="006501EF"/>
    <w:rsid w:val="00652510"/>
    <w:rsid w:val="00652585"/>
    <w:rsid w:val="00652A97"/>
    <w:rsid w:val="006540E0"/>
    <w:rsid w:val="006544BD"/>
    <w:rsid w:val="0065480D"/>
    <w:rsid w:val="0065502C"/>
    <w:rsid w:val="00657A0C"/>
    <w:rsid w:val="00657EA5"/>
    <w:rsid w:val="0066074B"/>
    <w:rsid w:val="00661274"/>
    <w:rsid w:val="00661EC7"/>
    <w:rsid w:val="00662800"/>
    <w:rsid w:val="006636C1"/>
    <w:rsid w:val="006636DF"/>
    <w:rsid w:val="00664C99"/>
    <w:rsid w:val="00665EC9"/>
    <w:rsid w:val="006675C4"/>
    <w:rsid w:val="006718F8"/>
    <w:rsid w:val="00671990"/>
    <w:rsid w:val="00671F1D"/>
    <w:rsid w:val="006729F0"/>
    <w:rsid w:val="00672D68"/>
    <w:rsid w:val="00673DC9"/>
    <w:rsid w:val="00674215"/>
    <w:rsid w:val="00674CAE"/>
    <w:rsid w:val="00675209"/>
    <w:rsid w:val="006758F2"/>
    <w:rsid w:val="006759BB"/>
    <w:rsid w:val="006774A6"/>
    <w:rsid w:val="00677BBD"/>
    <w:rsid w:val="00680151"/>
    <w:rsid w:val="00680949"/>
    <w:rsid w:val="00680E4B"/>
    <w:rsid w:val="0068489C"/>
    <w:rsid w:val="00685702"/>
    <w:rsid w:val="00690AA8"/>
    <w:rsid w:val="00691000"/>
    <w:rsid w:val="006919BD"/>
    <w:rsid w:val="00691DA3"/>
    <w:rsid w:val="00692059"/>
    <w:rsid w:val="00694683"/>
    <w:rsid w:val="00695F8F"/>
    <w:rsid w:val="00697F7F"/>
    <w:rsid w:val="006A1D24"/>
    <w:rsid w:val="006A2639"/>
    <w:rsid w:val="006A2799"/>
    <w:rsid w:val="006A2EDB"/>
    <w:rsid w:val="006A3A7C"/>
    <w:rsid w:val="006A45C2"/>
    <w:rsid w:val="006A45F3"/>
    <w:rsid w:val="006A4C2A"/>
    <w:rsid w:val="006A518B"/>
    <w:rsid w:val="006A6965"/>
    <w:rsid w:val="006A75DE"/>
    <w:rsid w:val="006A7F59"/>
    <w:rsid w:val="006B0542"/>
    <w:rsid w:val="006B1557"/>
    <w:rsid w:val="006B294F"/>
    <w:rsid w:val="006B46E3"/>
    <w:rsid w:val="006B509B"/>
    <w:rsid w:val="006B6329"/>
    <w:rsid w:val="006B7981"/>
    <w:rsid w:val="006B7D52"/>
    <w:rsid w:val="006C07DB"/>
    <w:rsid w:val="006C09E7"/>
    <w:rsid w:val="006C0D2E"/>
    <w:rsid w:val="006C138E"/>
    <w:rsid w:val="006C1510"/>
    <w:rsid w:val="006C1A5F"/>
    <w:rsid w:val="006C3D0B"/>
    <w:rsid w:val="006C4B3A"/>
    <w:rsid w:val="006C5635"/>
    <w:rsid w:val="006C5677"/>
    <w:rsid w:val="006C5C76"/>
    <w:rsid w:val="006C708E"/>
    <w:rsid w:val="006C7514"/>
    <w:rsid w:val="006C7AF9"/>
    <w:rsid w:val="006D0879"/>
    <w:rsid w:val="006D0B41"/>
    <w:rsid w:val="006D1AB1"/>
    <w:rsid w:val="006D1C25"/>
    <w:rsid w:val="006D2A33"/>
    <w:rsid w:val="006D2D15"/>
    <w:rsid w:val="006D3045"/>
    <w:rsid w:val="006D343C"/>
    <w:rsid w:val="006D3E67"/>
    <w:rsid w:val="006D54AB"/>
    <w:rsid w:val="006D5828"/>
    <w:rsid w:val="006D6436"/>
    <w:rsid w:val="006D78F0"/>
    <w:rsid w:val="006D7949"/>
    <w:rsid w:val="006E0BB8"/>
    <w:rsid w:val="006E0FC2"/>
    <w:rsid w:val="006E1840"/>
    <w:rsid w:val="006E2A25"/>
    <w:rsid w:val="006E4C4F"/>
    <w:rsid w:val="006E5394"/>
    <w:rsid w:val="006E5F85"/>
    <w:rsid w:val="006E62C1"/>
    <w:rsid w:val="006E6E15"/>
    <w:rsid w:val="006E7B50"/>
    <w:rsid w:val="006F0E42"/>
    <w:rsid w:val="006F0E44"/>
    <w:rsid w:val="006F0E4E"/>
    <w:rsid w:val="006F10AF"/>
    <w:rsid w:val="006F292D"/>
    <w:rsid w:val="006F2F23"/>
    <w:rsid w:val="006F2F40"/>
    <w:rsid w:val="006F3F51"/>
    <w:rsid w:val="006F4390"/>
    <w:rsid w:val="006F4D73"/>
    <w:rsid w:val="006F4FAE"/>
    <w:rsid w:val="006F5527"/>
    <w:rsid w:val="006F6E6E"/>
    <w:rsid w:val="006F70B5"/>
    <w:rsid w:val="006F7BDE"/>
    <w:rsid w:val="00700012"/>
    <w:rsid w:val="00700123"/>
    <w:rsid w:val="00700218"/>
    <w:rsid w:val="0070298D"/>
    <w:rsid w:val="007053D4"/>
    <w:rsid w:val="007067C0"/>
    <w:rsid w:val="007071A3"/>
    <w:rsid w:val="007101C4"/>
    <w:rsid w:val="00710A01"/>
    <w:rsid w:val="00710D6D"/>
    <w:rsid w:val="00712997"/>
    <w:rsid w:val="00712AE2"/>
    <w:rsid w:val="0071442C"/>
    <w:rsid w:val="007146F3"/>
    <w:rsid w:val="00714D26"/>
    <w:rsid w:val="00714D3E"/>
    <w:rsid w:val="00715A35"/>
    <w:rsid w:val="0071706B"/>
    <w:rsid w:val="007178B3"/>
    <w:rsid w:val="007204EA"/>
    <w:rsid w:val="0072088F"/>
    <w:rsid w:val="00721F8E"/>
    <w:rsid w:val="00722120"/>
    <w:rsid w:val="00723EE3"/>
    <w:rsid w:val="0072600C"/>
    <w:rsid w:val="00727C35"/>
    <w:rsid w:val="00730757"/>
    <w:rsid w:val="00731239"/>
    <w:rsid w:val="007335DE"/>
    <w:rsid w:val="007356DF"/>
    <w:rsid w:val="0073583D"/>
    <w:rsid w:val="007359B3"/>
    <w:rsid w:val="00736753"/>
    <w:rsid w:val="00736D5F"/>
    <w:rsid w:val="00741373"/>
    <w:rsid w:val="007430BE"/>
    <w:rsid w:val="00743560"/>
    <w:rsid w:val="00743E34"/>
    <w:rsid w:val="00744246"/>
    <w:rsid w:val="007443F9"/>
    <w:rsid w:val="007448F8"/>
    <w:rsid w:val="00744C41"/>
    <w:rsid w:val="0074571E"/>
    <w:rsid w:val="00746FD7"/>
    <w:rsid w:val="00750655"/>
    <w:rsid w:val="0075264A"/>
    <w:rsid w:val="00754018"/>
    <w:rsid w:val="00756B96"/>
    <w:rsid w:val="00756CDE"/>
    <w:rsid w:val="00756E06"/>
    <w:rsid w:val="0075702C"/>
    <w:rsid w:val="0075746F"/>
    <w:rsid w:val="00757D8E"/>
    <w:rsid w:val="0076211D"/>
    <w:rsid w:val="00762149"/>
    <w:rsid w:val="007637A2"/>
    <w:rsid w:val="00763F29"/>
    <w:rsid w:val="0076425B"/>
    <w:rsid w:val="007652B1"/>
    <w:rsid w:val="00765C17"/>
    <w:rsid w:val="00770D1D"/>
    <w:rsid w:val="00771495"/>
    <w:rsid w:val="00772667"/>
    <w:rsid w:val="007729E8"/>
    <w:rsid w:val="00772C18"/>
    <w:rsid w:val="00773774"/>
    <w:rsid w:val="007769BE"/>
    <w:rsid w:val="007774ED"/>
    <w:rsid w:val="007777E5"/>
    <w:rsid w:val="00777EC0"/>
    <w:rsid w:val="00777FAB"/>
    <w:rsid w:val="007803FA"/>
    <w:rsid w:val="0078204F"/>
    <w:rsid w:val="00782AE7"/>
    <w:rsid w:val="00783C16"/>
    <w:rsid w:val="0078460F"/>
    <w:rsid w:val="00784896"/>
    <w:rsid w:val="00785338"/>
    <w:rsid w:val="0078736F"/>
    <w:rsid w:val="007878B4"/>
    <w:rsid w:val="00787BA4"/>
    <w:rsid w:val="00787C16"/>
    <w:rsid w:val="00791646"/>
    <w:rsid w:val="007924CE"/>
    <w:rsid w:val="007936D5"/>
    <w:rsid w:val="007948C7"/>
    <w:rsid w:val="00794A59"/>
    <w:rsid w:val="00796204"/>
    <w:rsid w:val="00796B20"/>
    <w:rsid w:val="00797573"/>
    <w:rsid w:val="007A0F3F"/>
    <w:rsid w:val="007A18D9"/>
    <w:rsid w:val="007A2048"/>
    <w:rsid w:val="007A2761"/>
    <w:rsid w:val="007A5EEA"/>
    <w:rsid w:val="007A66B1"/>
    <w:rsid w:val="007A69BB"/>
    <w:rsid w:val="007A6CD2"/>
    <w:rsid w:val="007A7041"/>
    <w:rsid w:val="007A70E2"/>
    <w:rsid w:val="007B0875"/>
    <w:rsid w:val="007B105F"/>
    <w:rsid w:val="007B1559"/>
    <w:rsid w:val="007B162E"/>
    <w:rsid w:val="007B327B"/>
    <w:rsid w:val="007B53D8"/>
    <w:rsid w:val="007B5867"/>
    <w:rsid w:val="007B7AC2"/>
    <w:rsid w:val="007C07BC"/>
    <w:rsid w:val="007C30F0"/>
    <w:rsid w:val="007C34A3"/>
    <w:rsid w:val="007C4B44"/>
    <w:rsid w:val="007C4EBA"/>
    <w:rsid w:val="007C5736"/>
    <w:rsid w:val="007C68FC"/>
    <w:rsid w:val="007C705E"/>
    <w:rsid w:val="007C7E46"/>
    <w:rsid w:val="007D05AE"/>
    <w:rsid w:val="007D0A42"/>
    <w:rsid w:val="007D1301"/>
    <w:rsid w:val="007D29D1"/>
    <w:rsid w:val="007D343A"/>
    <w:rsid w:val="007D38E3"/>
    <w:rsid w:val="007D3D70"/>
    <w:rsid w:val="007D4518"/>
    <w:rsid w:val="007D4988"/>
    <w:rsid w:val="007D58D8"/>
    <w:rsid w:val="007D62CD"/>
    <w:rsid w:val="007D6A00"/>
    <w:rsid w:val="007D7130"/>
    <w:rsid w:val="007D7778"/>
    <w:rsid w:val="007E0493"/>
    <w:rsid w:val="007E1193"/>
    <w:rsid w:val="007E5DCD"/>
    <w:rsid w:val="007E6562"/>
    <w:rsid w:val="007E6801"/>
    <w:rsid w:val="007E7F52"/>
    <w:rsid w:val="007F1410"/>
    <w:rsid w:val="007F3F4E"/>
    <w:rsid w:val="007F5E8C"/>
    <w:rsid w:val="007F62FE"/>
    <w:rsid w:val="007F6C67"/>
    <w:rsid w:val="007F77D8"/>
    <w:rsid w:val="0080122D"/>
    <w:rsid w:val="00802E32"/>
    <w:rsid w:val="00802E7E"/>
    <w:rsid w:val="008042B8"/>
    <w:rsid w:val="00805322"/>
    <w:rsid w:val="00805A2B"/>
    <w:rsid w:val="00805ECC"/>
    <w:rsid w:val="008064EB"/>
    <w:rsid w:val="0080656C"/>
    <w:rsid w:val="00806F4D"/>
    <w:rsid w:val="00807118"/>
    <w:rsid w:val="0081070D"/>
    <w:rsid w:val="00811E87"/>
    <w:rsid w:val="0081212B"/>
    <w:rsid w:val="008136F3"/>
    <w:rsid w:val="00814027"/>
    <w:rsid w:val="008201B9"/>
    <w:rsid w:val="0082029F"/>
    <w:rsid w:val="008203B9"/>
    <w:rsid w:val="008203ED"/>
    <w:rsid w:val="008213FF"/>
    <w:rsid w:val="00821DF9"/>
    <w:rsid w:val="0082249D"/>
    <w:rsid w:val="008224B6"/>
    <w:rsid w:val="0082730D"/>
    <w:rsid w:val="00827718"/>
    <w:rsid w:val="00830C2E"/>
    <w:rsid w:val="00831D1F"/>
    <w:rsid w:val="008332F6"/>
    <w:rsid w:val="00835314"/>
    <w:rsid w:val="008362FA"/>
    <w:rsid w:val="00836E39"/>
    <w:rsid w:val="00837021"/>
    <w:rsid w:val="0083797F"/>
    <w:rsid w:val="00840F09"/>
    <w:rsid w:val="00841144"/>
    <w:rsid w:val="00842016"/>
    <w:rsid w:val="00842C99"/>
    <w:rsid w:val="00842E4F"/>
    <w:rsid w:val="00844467"/>
    <w:rsid w:val="008460C6"/>
    <w:rsid w:val="00847201"/>
    <w:rsid w:val="008473C5"/>
    <w:rsid w:val="008477AB"/>
    <w:rsid w:val="00850A1D"/>
    <w:rsid w:val="00850A28"/>
    <w:rsid w:val="00850C1B"/>
    <w:rsid w:val="00850C70"/>
    <w:rsid w:val="0085243E"/>
    <w:rsid w:val="00852D19"/>
    <w:rsid w:val="00853309"/>
    <w:rsid w:val="0085363D"/>
    <w:rsid w:val="0085675F"/>
    <w:rsid w:val="00856CE2"/>
    <w:rsid w:val="00857076"/>
    <w:rsid w:val="008570C9"/>
    <w:rsid w:val="00857301"/>
    <w:rsid w:val="008578BF"/>
    <w:rsid w:val="00857CB4"/>
    <w:rsid w:val="00857F2A"/>
    <w:rsid w:val="00860351"/>
    <w:rsid w:val="008612F3"/>
    <w:rsid w:val="0086163E"/>
    <w:rsid w:val="0086318B"/>
    <w:rsid w:val="00864363"/>
    <w:rsid w:val="00864D25"/>
    <w:rsid w:val="00871F30"/>
    <w:rsid w:val="00872165"/>
    <w:rsid w:val="008728D7"/>
    <w:rsid w:val="00872E0D"/>
    <w:rsid w:val="0087390E"/>
    <w:rsid w:val="00873A4F"/>
    <w:rsid w:val="00874BE8"/>
    <w:rsid w:val="00874F6C"/>
    <w:rsid w:val="00875325"/>
    <w:rsid w:val="008764D5"/>
    <w:rsid w:val="008768CC"/>
    <w:rsid w:val="00881B57"/>
    <w:rsid w:val="00881C1D"/>
    <w:rsid w:val="0088202A"/>
    <w:rsid w:val="00883299"/>
    <w:rsid w:val="0088390C"/>
    <w:rsid w:val="008839AF"/>
    <w:rsid w:val="00883F26"/>
    <w:rsid w:val="00884D4E"/>
    <w:rsid w:val="00884F98"/>
    <w:rsid w:val="0088577C"/>
    <w:rsid w:val="008857E9"/>
    <w:rsid w:val="008858B7"/>
    <w:rsid w:val="008871F8"/>
    <w:rsid w:val="00891E25"/>
    <w:rsid w:val="008924D0"/>
    <w:rsid w:val="00893D0E"/>
    <w:rsid w:val="00893D73"/>
    <w:rsid w:val="00893F58"/>
    <w:rsid w:val="008948B0"/>
    <w:rsid w:val="00895451"/>
    <w:rsid w:val="008A0E22"/>
    <w:rsid w:val="008A1A2E"/>
    <w:rsid w:val="008A23CC"/>
    <w:rsid w:val="008A3A16"/>
    <w:rsid w:val="008A4C4C"/>
    <w:rsid w:val="008A4EC5"/>
    <w:rsid w:val="008A65B9"/>
    <w:rsid w:val="008A6ABA"/>
    <w:rsid w:val="008A6B22"/>
    <w:rsid w:val="008A6BC1"/>
    <w:rsid w:val="008B0C2F"/>
    <w:rsid w:val="008B22F5"/>
    <w:rsid w:val="008B2C6D"/>
    <w:rsid w:val="008B418F"/>
    <w:rsid w:val="008B5887"/>
    <w:rsid w:val="008C03DC"/>
    <w:rsid w:val="008C04C3"/>
    <w:rsid w:val="008C0550"/>
    <w:rsid w:val="008C10A9"/>
    <w:rsid w:val="008C13D3"/>
    <w:rsid w:val="008C1705"/>
    <w:rsid w:val="008C1784"/>
    <w:rsid w:val="008C2F2C"/>
    <w:rsid w:val="008C3001"/>
    <w:rsid w:val="008C3D8D"/>
    <w:rsid w:val="008C5E1B"/>
    <w:rsid w:val="008C6480"/>
    <w:rsid w:val="008C69DA"/>
    <w:rsid w:val="008C7AC4"/>
    <w:rsid w:val="008D0017"/>
    <w:rsid w:val="008D0D72"/>
    <w:rsid w:val="008D4D2C"/>
    <w:rsid w:val="008D5392"/>
    <w:rsid w:val="008D5981"/>
    <w:rsid w:val="008D5C84"/>
    <w:rsid w:val="008D5FA4"/>
    <w:rsid w:val="008D6CEB"/>
    <w:rsid w:val="008D7320"/>
    <w:rsid w:val="008D74C9"/>
    <w:rsid w:val="008D7F39"/>
    <w:rsid w:val="008E0156"/>
    <w:rsid w:val="008E0A28"/>
    <w:rsid w:val="008E102C"/>
    <w:rsid w:val="008E2409"/>
    <w:rsid w:val="008E2694"/>
    <w:rsid w:val="008E342B"/>
    <w:rsid w:val="008E3B15"/>
    <w:rsid w:val="008E3FA2"/>
    <w:rsid w:val="008E4A27"/>
    <w:rsid w:val="008E4AD8"/>
    <w:rsid w:val="008E4CE4"/>
    <w:rsid w:val="008E62B1"/>
    <w:rsid w:val="008E691D"/>
    <w:rsid w:val="008F076A"/>
    <w:rsid w:val="008F08E2"/>
    <w:rsid w:val="008F1D32"/>
    <w:rsid w:val="008F32A9"/>
    <w:rsid w:val="008F465B"/>
    <w:rsid w:val="008F593A"/>
    <w:rsid w:val="008F6A74"/>
    <w:rsid w:val="008F73C4"/>
    <w:rsid w:val="008F7759"/>
    <w:rsid w:val="008F777A"/>
    <w:rsid w:val="008F79FC"/>
    <w:rsid w:val="008F7C78"/>
    <w:rsid w:val="00902398"/>
    <w:rsid w:val="009026CF"/>
    <w:rsid w:val="009037A2"/>
    <w:rsid w:val="00904B2E"/>
    <w:rsid w:val="0090674B"/>
    <w:rsid w:val="00907AEF"/>
    <w:rsid w:val="009104ED"/>
    <w:rsid w:val="009112B4"/>
    <w:rsid w:val="0091167B"/>
    <w:rsid w:val="009117D7"/>
    <w:rsid w:val="009118F0"/>
    <w:rsid w:val="00911913"/>
    <w:rsid w:val="00911A1C"/>
    <w:rsid w:val="00911D6C"/>
    <w:rsid w:val="00912DE0"/>
    <w:rsid w:val="00912E04"/>
    <w:rsid w:val="00913349"/>
    <w:rsid w:val="009158B3"/>
    <w:rsid w:val="00915B4D"/>
    <w:rsid w:val="009162A3"/>
    <w:rsid w:val="009203AE"/>
    <w:rsid w:val="00921214"/>
    <w:rsid w:val="00922575"/>
    <w:rsid w:val="009241CC"/>
    <w:rsid w:val="00924981"/>
    <w:rsid w:val="00924A37"/>
    <w:rsid w:val="00925404"/>
    <w:rsid w:val="009276D1"/>
    <w:rsid w:val="00927B21"/>
    <w:rsid w:val="00927E3A"/>
    <w:rsid w:val="0093047E"/>
    <w:rsid w:val="00931E44"/>
    <w:rsid w:val="009329AD"/>
    <w:rsid w:val="00932D31"/>
    <w:rsid w:val="009335BA"/>
    <w:rsid w:val="0093487B"/>
    <w:rsid w:val="009364D3"/>
    <w:rsid w:val="00940565"/>
    <w:rsid w:val="009408C3"/>
    <w:rsid w:val="00940DDB"/>
    <w:rsid w:val="009411FF"/>
    <w:rsid w:val="00943F1D"/>
    <w:rsid w:val="00944347"/>
    <w:rsid w:val="0094631B"/>
    <w:rsid w:val="009465BE"/>
    <w:rsid w:val="009479BE"/>
    <w:rsid w:val="00950730"/>
    <w:rsid w:val="009519E5"/>
    <w:rsid w:val="00954C0B"/>
    <w:rsid w:val="00955AE0"/>
    <w:rsid w:val="0096075F"/>
    <w:rsid w:val="00960BB3"/>
    <w:rsid w:val="00960FE5"/>
    <w:rsid w:val="00961245"/>
    <w:rsid w:val="009618D0"/>
    <w:rsid w:val="009638ED"/>
    <w:rsid w:val="009643A9"/>
    <w:rsid w:val="00964C17"/>
    <w:rsid w:val="00965BD5"/>
    <w:rsid w:val="0096657C"/>
    <w:rsid w:val="00966986"/>
    <w:rsid w:val="0096707D"/>
    <w:rsid w:val="00967920"/>
    <w:rsid w:val="0097080E"/>
    <w:rsid w:val="0097399F"/>
    <w:rsid w:val="00974A44"/>
    <w:rsid w:val="00976CA5"/>
    <w:rsid w:val="0097754B"/>
    <w:rsid w:val="009811A1"/>
    <w:rsid w:val="00981504"/>
    <w:rsid w:val="00981DC6"/>
    <w:rsid w:val="00982BA7"/>
    <w:rsid w:val="00984025"/>
    <w:rsid w:val="00984460"/>
    <w:rsid w:val="00984F5F"/>
    <w:rsid w:val="0099108A"/>
    <w:rsid w:val="00993D0E"/>
    <w:rsid w:val="00993E91"/>
    <w:rsid w:val="00994772"/>
    <w:rsid w:val="00994A20"/>
    <w:rsid w:val="00995E79"/>
    <w:rsid w:val="0099619F"/>
    <w:rsid w:val="0099768A"/>
    <w:rsid w:val="009A0BB6"/>
    <w:rsid w:val="009A0C68"/>
    <w:rsid w:val="009A1186"/>
    <w:rsid w:val="009A132D"/>
    <w:rsid w:val="009A2057"/>
    <w:rsid w:val="009A20B8"/>
    <w:rsid w:val="009A22CF"/>
    <w:rsid w:val="009A2422"/>
    <w:rsid w:val="009A2E49"/>
    <w:rsid w:val="009A303E"/>
    <w:rsid w:val="009A4D94"/>
    <w:rsid w:val="009A74EE"/>
    <w:rsid w:val="009B1247"/>
    <w:rsid w:val="009B198F"/>
    <w:rsid w:val="009B1CF6"/>
    <w:rsid w:val="009B23AE"/>
    <w:rsid w:val="009B36FB"/>
    <w:rsid w:val="009B3ED8"/>
    <w:rsid w:val="009B3F73"/>
    <w:rsid w:val="009B515C"/>
    <w:rsid w:val="009B6DAC"/>
    <w:rsid w:val="009B750C"/>
    <w:rsid w:val="009C0920"/>
    <w:rsid w:val="009C1A55"/>
    <w:rsid w:val="009C2797"/>
    <w:rsid w:val="009C2D46"/>
    <w:rsid w:val="009C33DF"/>
    <w:rsid w:val="009C51A0"/>
    <w:rsid w:val="009C6A73"/>
    <w:rsid w:val="009C7CB4"/>
    <w:rsid w:val="009C7CBA"/>
    <w:rsid w:val="009C7CEA"/>
    <w:rsid w:val="009D1B6E"/>
    <w:rsid w:val="009D1B7F"/>
    <w:rsid w:val="009D2517"/>
    <w:rsid w:val="009D2C93"/>
    <w:rsid w:val="009D3C80"/>
    <w:rsid w:val="009D45C1"/>
    <w:rsid w:val="009D4625"/>
    <w:rsid w:val="009D4D2F"/>
    <w:rsid w:val="009D79CA"/>
    <w:rsid w:val="009E05C3"/>
    <w:rsid w:val="009E08D9"/>
    <w:rsid w:val="009E165D"/>
    <w:rsid w:val="009E1E5D"/>
    <w:rsid w:val="009E35DD"/>
    <w:rsid w:val="009E47B7"/>
    <w:rsid w:val="009E562A"/>
    <w:rsid w:val="009E5810"/>
    <w:rsid w:val="009E58E3"/>
    <w:rsid w:val="009E5A4E"/>
    <w:rsid w:val="009E6435"/>
    <w:rsid w:val="009E7527"/>
    <w:rsid w:val="009F0532"/>
    <w:rsid w:val="009F2044"/>
    <w:rsid w:val="009F22F8"/>
    <w:rsid w:val="009F26A0"/>
    <w:rsid w:val="009F297A"/>
    <w:rsid w:val="009F2E26"/>
    <w:rsid w:val="009F3F41"/>
    <w:rsid w:val="009F4BF5"/>
    <w:rsid w:val="009F611F"/>
    <w:rsid w:val="009F6AC2"/>
    <w:rsid w:val="009F7DEF"/>
    <w:rsid w:val="00A00E63"/>
    <w:rsid w:val="00A01292"/>
    <w:rsid w:val="00A017C7"/>
    <w:rsid w:val="00A02716"/>
    <w:rsid w:val="00A030B6"/>
    <w:rsid w:val="00A0375A"/>
    <w:rsid w:val="00A0386D"/>
    <w:rsid w:val="00A04487"/>
    <w:rsid w:val="00A04565"/>
    <w:rsid w:val="00A0720E"/>
    <w:rsid w:val="00A07512"/>
    <w:rsid w:val="00A07C18"/>
    <w:rsid w:val="00A07FA4"/>
    <w:rsid w:val="00A11AE2"/>
    <w:rsid w:val="00A13259"/>
    <w:rsid w:val="00A13602"/>
    <w:rsid w:val="00A1570F"/>
    <w:rsid w:val="00A17A52"/>
    <w:rsid w:val="00A20182"/>
    <w:rsid w:val="00A21580"/>
    <w:rsid w:val="00A21BDB"/>
    <w:rsid w:val="00A21E4C"/>
    <w:rsid w:val="00A2274E"/>
    <w:rsid w:val="00A22A6F"/>
    <w:rsid w:val="00A243DE"/>
    <w:rsid w:val="00A260E0"/>
    <w:rsid w:val="00A26C0A"/>
    <w:rsid w:val="00A33F37"/>
    <w:rsid w:val="00A3418E"/>
    <w:rsid w:val="00A343B2"/>
    <w:rsid w:val="00A3467F"/>
    <w:rsid w:val="00A34A28"/>
    <w:rsid w:val="00A34BFF"/>
    <w:rsid w:val="00A41077"/>
    <w:rsid w:val="00A428B0"/>
    <w:rsid w:val="00A42901"/>
    <w:rsid w:val="00A43ECC"/>
    <w:rsid w:val="00A453CF"/>
    <w:rsid w:val="00A462EC"/>
    <w:rsid w:val="00A47EC6"/>
    <w:rsid w:val="00A507B2"/>
    <w:rsid w:val="00A532B9"/>
    <w:rsid w:val="00A55394"/>
    <w:rsid w:val="00A57CFD"/>
    <w:rsid w:val="00A601D7"/>
    <w:rsid w:val="00A61F17"/>
    <w:rsid w:val="00A635C0"/>
    <w:rsid w:val="00A63B67"/>
    <w:rsid w:val="00A65142"/>
    <w:rsid w:val="00A65493"/>
    <w:rsid w:val="00A67B1C"/>
    <w:rsid w:val="00A705BF"/>
    <w:rsid w:val="00A706D1"/>
    <w:rsid w:val="00A70E1B"/>
    <w:rsid w:val="00A71D85"/>
    <w:rsid w:val="00A7285A"/>
    <w:rsid w:val="00A73CE6"/>
    <w:rsid w:val="00A7422A"/>
    <w:rsid w:val="00A74E6A"/>
    <w:rsid w:val="00A75170"/>
    <w:rsid w:val="00A751BF"/>
    <w:rsid w:val="00A75333"/>
    <w:rsid w:val="00A75EAF"/>
    <w:rsid w:val="00A7609B"/>
    <w:rsid w:val="00A770D5"/>
    <w:rsid w:val="00A812F2"/>
    <w:rsid w:val="00A81CC7"/>
    <w:rsid w:val="00A82F99"/>
    <w:rsid w:val="00A831CA"/>
    <w:rsid w:val="00A85E57"/>
    <w:rsid w:val="00A864A7"/>
    <w:rsid w:val="00A870F6"/>
    <w:rsid w:val="00A91867"/>
    <w:rsid w:val="00A92500"/>
    <w:rsid w:val="00A92884"/>
    <w:rsid w:val="00A92BA9"/>
    <w:rsid w:val="00A937E5"/>
    <w:rsid w:val="00A94E98"/>
    <w:rsid w:val="00A94F1A"/>
    <w:rsid w:val="00A9518D"/>
    <w:rsid w:val="00A95DB1"/>
    <w:rsid w:val="00A9614F"/>
    <w:rsid w:val="00A97643"/>
    <w:rsid w:val="00AA095D"/>
    <w:rsid w:val="00AA25EB"/>
    <w:rsid w:val="00AA2749"/>
    <w:rsid w:val="00AA2CFA"/>
    <w:rsid w:val="00AA4F1F"/>
    <w:rsid w:val="00AA50E5"/>
    <w:rsid w:val="00AA5B60"/>
    <w:rsid w:val="00AA5C01"/>
    <w:rsid w:val="00AA666D"/>
    <w:rsid w:val="00AA6EC6"/>
    <w:rsid w:val="00AA7541"/>
    <w:rsid w:val="00AA798B"/>
    <w:rsid w:val="00AA7A93"/>
    <w:rsid w:val="00AB0168"/>
    <w:rsid w:val="00AB214E"/>
    <w:rsid w:val="00AB2B70"/>
    <w:rsid w:val="00AB2D0A"/>
    <w:rsid w:val="00AB3D81"/>
    <w:rsid w:val="00AB414C"/>
    <w:rsid w:val="00AB47B1"/>
    <w:rsid w:val="00AB4C9C"/>
    <w:rsid w:val="00AB69C8"/>
    <w:rsid w:val="00AC10E8"/>
    <w:rsid w:val="00AC11A5"/>
    <w:rsid w:val="00AC1428"/>
    <w:rsid w:val="00AC17B7"/>
    <w:rsid w:val="00AC4875"/>
    <w:rsid w:val="00AC5873"/>
    <w:rsid w:val="00AC5AD2"/>
    <w:rsid w:val="00AC62CE"/>
    <w:rsid w:val="00AC6A88"/>
    <w:rsid w:val="00AC786F"/>
    <w:rsid w:val="00AD070C"/>
    <w:rsid w:val="00AD0892"/>
    <w:rsid w:val="00AD0F0D"/>
    <w:rsid w:val="00AD1854"/>
    <w:rsid w:val="00AD1ECE"/>
    <w:rsid w:val="00AD28C9"/>
    <w:rsid w:val="00AD2FED"/>
    <w:rsid w:val="00AD3E99"/>
    <w:rsid w:val="00AD4509"/>
    <w:rsid w:val="00AD46BF"/>
    <w:rsid w:val="00AD4ECF"/>
    <w:rsid w:val="00AD55A4"/>
    <w:rsid w:val="00AD5B21"/>
    <w:rsid w:val="00AD6331"/>
    <w:rsid w:val="00AD655F"/>
    <w:rsid w:val="00AD6D6D"/>
    <w:rsid w:val="00AD7555"/>
    <w:rsid w:val="00AE167E"/>
    <w:rsid w:val="00AE17A4"/>
    <w:rsid w:val="00AE2697"/>
    <w:rsid w:val="00AE28BF"/>
    <w:rsid w:val="00AE2B75"/>
    <w:rsid w:val="00AE2FFB"/>
    <w:rsid w:val="00AE39DA"/>
    <w:rsid w:val="00AE43F2"/>
    <w:rsid w:val="00AE5598"/>
    <w:rsid w:val="00AE6138"/>
    <w:rsid w:val="00AE6611"/>
    <w:rsid w:val="00AE6D04"/>
    <w:rsid w:val="00AE758A"/>
    <w:rsid w:val="00AE79FA"/>
    <w:rsid w:val="00AF0377"/>
    <w:rsid w:val="00AF08CE"/>
    <w:rsid w:val="00AF399C"/>
    <w:rsid w:val="00AF5AE7"/>
    <w:rsid w:val="00AF7227"/>
    <w:rsid w:val="00AF7CCF"/>
    <w:rsid w:val="00B02AD6"/>
    <w:rsid w:val="00B040C9"/>
    <w:rsid w:val="00B04559"/>
    <w:rsid w:val="00B046F6"/>
    <w:rsid w:val="00B04CCD"/>
    <w:rsid w:val="00B10D6F"/>
    <w:rsid w:val="00B114E4"/>
    <w:rsid w:val="00B11569"/>
    <w:rsid w:val="00B11E50"/>
    <w:rsid w:val="00B11FF0"/>
    <w:rsid w:val="00B12816"/>
    <w:rsid w:val="00B14179"/>
    <w:rsid w:val="00B14218"/>
    <w:rsid w:val="00B14319"/>
    <w:rsid w:val="00B15798"/>
    <w:rsid w:val="00B16696"/>
    <w:rsid w:val="00B17A29"/>
    <w:rsid w:val="00B20B66"/>
    <w:rsid w:val="00B21910"/>
    <w:rsid w:val="00B22073"/>
    <w:rsid w:val="00B22414"/>
    <w:rsid w:val="00B235D0"/>
    <w:rsid w:val="00B241ED"/>
    <w:rsid w:val="00B24A87"/>
    <w:rsid w:val="00B25D87"/>
    <w:rsid w:val="00B271C3"/>
    <w:rsid w:val="00B27AEC"/>
    <w:rsid w:val="00B27FB7"/>
    <w:rsid w:val="00B303EC"/>
    <w:rsid w:val="00B3143D"/>
    <w:rsid w:val="00B31B69"/>
    <w:rsid w:val="00B3400A"/>
    <w:rsid w:val="00B343B9"/>
    <w:rsid w:val="00B3539F"/>
    <w:rsid w:val="00B372A0"/>
    <w:rsid w:val="00B41235"/>
    <w:rsid w:val="00B41715"/>
    <w:rsid w:val="00B41F6F"/>
    <w:rsid w:val="00B420D5"/>
    <w:rsid w:val="00B4322A"/>
    <w:rsid w:val="00B45D20"/>
    <w:rsid w:val="00B46044"/>
    <w:rsid w:val="00B473DD"/>
    <w:rsid w:val="00B47FC3"/>
    <w:rsid w:val="00B5171F"/>
    <w:rsid w:val="00B51CE8"/>
    <w:rsid w:val="00B52919"/>
    <w:rsid w:val="00B52FCD"/>
    <w:rsid w:val="00B533AF"/>
    <w:rsid w:val="00B55C09"/>
    <w:rsid w:val="00B564D1"/>
    <w:rsid w:val="00B56BFA"/>
    <w:rsid w:val="00B5722B"/>
    <w:rsid w:val="00B572E0"/>
    <w:rsid w:val="00B604FA"/>
    <w:rsid w:val="00B61C7B"/>
    <w:rsid w:val="00B627D3"/>
    <w:rsid w:val="00B64B08"/>
    <w:rsid w:val="00B650ED"/>
    <w:rsid w:val="00B65FE4"/>
    <w:rsid w:val="00B6668D"/>
    <w:rsid w:val="00B70BA3"/>
    <w:rsid w:val="00B72D83"/>
    <w:rsid w:val="00B72DD4"/>
    <w:rsid w:val="00B74911"/>
    <w:rsid w:val="00B74EDA"/>
    <w:rsid w:val="00B7552C"/>
    <w:rsid w:val="00B75545"/>
    <w:rsid w:val="00B7715E"/>
    <w:rsid w:val="00B775DD"/>
    <w:rsid w:val="00B80C58"/>
    <w:rsid w:val="00B816DE"/>
    <w:rsid w:val="00B82BE9"/>
    <w:rsid w:val="00B83659"/>
    <w:rsid w:val="00B85BD8"/>
    <w:rsid w:val="00B85E62"/>
    <w:rsid w:val="00B86EBE"/>
    <w:rsid w:val="00B91EC6"/>
    <w:rsid w:val="00B92195"/>
    <w:rsid w:val="00B93549"/>
    <w:rsid w:val="00B93F65"/>
    <w:rsid w:val="00B9456E"/>
    <w:rsid w:val="00B95257"/>
    <w:rsid w:val="00B96C59"/>
    <w:rsid w:val="00B9793D"/>
    <w:rsid w:val="00B97B5A"/>
    <w:rsid w:val="00BA0307"/>
    <w:rsid w:val="00BA1267"/>
    <w:rsid w:val="00BA3896"/>
    <w:rsid w:val="00BA3F74"/>
    <w:rsid w:val="00BA4BE5"/>
    <w:rsid w:val="00BA52BA"/>
    <w:rsid w:val="00BA62B6"/>
    <w:rsid w:val="00BA63BB"/>
    <w:rsid w:val="00BB075E"/>
    <w:rsid w:val="00BB08BA"/>
    <w:rsid w:val="00BB14AE"/>
    <w:rsid w:val="00BB1D2D"/>
    <w:rsid w:val="00BB28D7"/>
    <w:rsid w:val="00BB3C29"/>
    <w:rsid w:val="00BB5576"/>
    <w:rsid w:val="00BB5D66"/>
    <w:rsid w:val="00BC09B1"/>
    <w:rsid w:val="00BC0E4C"/>
    <w:rsid w:val="00BC3ED9"/>
    <w:rsid w:val="00BC53AB"/>
    <w:rsid w:val="00BC54DC"/>
    <w:rsid w:val="00BC624B"/>
    <w:rsid w:val="00BC6375"/>
    <w:rsid w:val="00BC6FF6"/>
    <w:rsid w:val="00BC768D"/>
    <w:rsid w:val="00BD1962"/>
    <w:rsid w:val="00BD45F1"/>
    <w:rsid w:val="00BD488B"/>
    <w:rsid w:val="00BD7D33"/>
    <w:rsid w:val="00BE05E5"/>
    <w:rsid w:val="00BE1B3A"/>
    <w:rsid w:val="00BE1FA9"/>
    <w:rsid w:val="00BE2BD6"/>
    <w:rsid w:val="00BE3523"/>
    <w:rsid w:val="00BE35C7"/>
    <w:rsid w:val="00BE36AE"/>
    <w:rsid w:val="00BE3B73"/>
    <w:rsid w:val="00BE3F06"/>
    <w:rsid w:val="00BE7FB0"/>
    <w:rsid w:val="00BF239D"/>
    <w:rsid w:val="00BF2EA9"/>
    <w:rsid w:val="00BF318F"/>
    <w:rsid w:val="00BF34AC"/>
    <w:rsid w:val="00BF38C9"/>
    <w:rsid w:val="00BF615B"/>
    <w:rsid w:val="00BF6A65"/>
    <w:rsid w:val="00BF7822"/>
    <w:rsid w:val="00BF7F9A"/>
    <w:rsid w:val="00C0115A"/>
    <w:rsid w:val="00C024AD"/>
    <w:rsid w:val="00C040A0"/>
    <w:rsid w:val="00C047E6"/>
    <w:rsid w:val="00C05BD6"/>
    <w:rsid w:val="00C06424"/>
    <w:rsid w:val="00C07665"/>
    <w:rsid w:val="00C10F98"/>
    <w:rsid w:val="00C11891"/>
    <w:rsid w:val="00C1255D"/>
    <w:rsid w:val="00C15A52"/>
    <w:rsid w:val="00C16E9E"/>
    <w:rsid w:val="00C17BFB"/>
    <w:rsid w:val="00C20733"/>
    <w:rsid w:val="00C23496"/>
    <w:rsid w:val="00C241B0"/>
    <w:rsid w:val="00C25BC3"/>
    <w:rsid w:val="00C25C9A"/>
    <w:rsid w:val="00C2642C"/>
    <w:rsid w:val="00C2754F"/>
    <w:rsid w:val="00C320F9"/>
    <w:rsid w:val="00C36EFA"/>
    <w:rsid w:val="00C37DAA"/>
    <w:rsid w:val="00C40242"/>
    <w:rsid w:val="00C433A8"/>
    <w:rsid w:val="00C44012"/>
    <w:rsid w:val="00C4419B"/>
    <w:rsid w:val="00C447DF"/>
    <w:rsid w:val="00C44CEF"/>
    <w:rsid w:val="00C44F43"/>
    <w:rsid w:val="00C468D2"/>
    <w:rsid w:val="00C46A0E"/>
    <w:rsid w:val="00C46EE7"/>
    <w:rsid w:val="00C47187"/>
    <w:rsid w:val="00C47F7E"/>
    <w:rsid w:val="00C5175E"/>
    <w:rsid w:val="00C51959"/>
    <w:rsid w:val="00C51DAD"/>
    <w:rsid w:val="00C531E6"/>
    <w:rsid w:val="00C532A9"/>
    <w:rsid w:val="00C53F28"/>
    <w:rsid w:val="00C569F2"/>
    <w:rsid w:val="00C613FE"/>
    <w:rsid w:val="00C6181C"/>
    <w:rsid w:val="00C620A4"/>
    <w:rsid w:val="00C627AC"/>
    <w:rsid w:val="00C63149"/>
    <w:rsid w:val="00C63780"/>
    <w:rsid w:val="00C63AF7"/>
    <w:rsid w:val="00C63F9B"/>
    <w:rsid w:val="00C6402E"/>
    <w:rsid w:val="00C6498F"/>
    <w:rsid w:val="00C65038"/>
    <w:rsid w:val="00C65B8C"/>
    <w:rsid w:val="00C67097"/>
    <w:rsid w:val="00C71F39"/>
    <w:rsid w:val="00C7403B"/>
    <w:rsid w:val="00C7413E"/>
    <w:rsid w:val="00C774F3"/>
    <w:rsid w:val="00C77D22"/>
    <w:rsid w:val="00C80D6A"/>
    <w:rsid w:val="00C81277"/>
    <w:rsid w:val="00C829F4"/>
    <w:rsid w:val="00C83023"/>
    <w:rsid w:val="00C8352D"/>
    <w:rsid w:val="00C844A8"/>
    <w:rsid w:val="00C850A5"/>
    <w:rsid w:val="00C8511F"/>
    <w:rsid w:val="00C856DD"/>
    <w:rsid w:val="00C900FB"/>
    <w:rsid w:val="00C905CA"/>
    <w:rsid w:val="00C92FDB"/>
    <w:rsid w:val="00C9328D"/>
    <w:rsid w:val="00C934DB"/>
    <w:rsid w:val="00C93765"/>
    <w:rsid w:val="00C94318"/>
    <w:rsid w:val="00C949F2"/>
    <w:rsid w:val="00C94F94"/>
    <w:rsid w:val="00C960C4"/>
    <w:rsid w:val="00C96124"/>
    <w:rsid w:val="00C9646A"/>
    <w:rsid w:val="00CA3054"/>
    <w:rsid w:val="00CA330C"/>
    <w:rsid w:val="00CA3320"/>
    <w:rsid w:val="00CA41B2"/>
    <w:rsid w:val="00CA4619"/>
    <w:rsid w:val="00CA4A3D"/>
    <w:rsid w:val="00CA4B29"/>
    <w:rsid w:val="00CA5005"/>
    <w:rsid w:val="00CA51D3"/>
    <w:rsid w:val="00CA6464"/>
    <w:rsid w:val="00CA664D"/>
    <w:rsid w:val="00CA6CE8"/>
    <w:rsid w:val="00CA70BF"/>
    <w:rsid w:val="00CB3D5A"/>
    <w:rsid w:val="00CB3F8B"/>
    <w:rsid w:val="00CB4664"/>
    <w:rsid w:val="00CB486D"/>
    <w:rsid w:val="00CB6203"/>
    <w:rsid w:val="00CB6E46"/>
    <w:rsid w:val="00CC00DD"/>
    <w:rsid w:val="00CC3CAE"/>
    <w:rsid w:val="00CC3DCE"/>
    <w:rsid w:val="00CC3F10"/>
    <w:rsid w:val="00CC3F3B"/>
    <w:rsid w:val="00CC441B"/>
    <w:rsid w:val="00CC61CE"/>
    <w:rsid w:val="00CC795D"/>
    <w:rsid w:val="00CC7E0D"/>
    <w:rsid w:val="00CC7E2C"/>
    <w:rsid w:val="00CD0F34"/>
    <w:rsid w:val="00CD1F54"/>
    <w:rsid w:val="00CD4A7C"/>
    <w:rsid w:val="00CD4DC7"/>
    <w:rsid w:val="00CD6A45"/>
    <w:rsid w:val="00CD6D6C"/>
    <w:rsid w:val="00CE1CA9"/>
    <w:rsid w:val="00CE34A9"/>
    <w:rsid w:val="00CE432A"/>
    <w:rsid w:val="00CE4A00"/>
    <w:rsid w:val="00CE4B0B"/>
    <w:rsid w:val="00CE6835"/>
    <w:rsid w:val="00CE74BD"/>
    <w:rsid w:val="00CE76C6"/>
    <w:rsid w:val="00CF14DC"/>
    <w:rsid w:val="00CF194A"/>
    <w:rsid w:val="00CF2AE9"/>
    <w:rsid w:val="00CF2FE5"/>
    <w:rsid w:val="00CF56C5"/>
    <w:rsid w:val="00CF68E4"/>
    <w:rsid w:val="00D003E0"/>
    <w:rsid w:val="00D01337"/>
    <w:rsid w:val="00D01527"/>
    <w:rsid w:val="00D0383D"/>
    <w:rsid w:val="00D04A0B"/>
    <w:rsid w:val="00D06746"/>
    <w:rsid w:val="00D07100"/>
    <w:rsid w:val="00D108C5"/>
    <w:rsid w:val="00D10CE7"/>
    <w:rsid w:val="00D117E4"/>
    <w:rsid w:val="00D119EA"/>
    <w:rsid w:val="00D12482"/>
    <w:rsid w:val="00D1288A"/>
    <w:rsid w:val="00D12BE2"/>
    <w:rsid w:val="00D13C3C"/>
    <w:rsid w:val="00D14202"/>
    <w:rsid w:val="00D14DBC"/>
    <w:rsid w:val="00D158F7"/>
    <w:rsid w:val="00D15DB9"/>
    <w:rsid w:val="00D16F0D"/>
    <w:rsid w:val="00D175EE"/>
    <w:rsid w:val="00D176C5"/>
    <w:rsid w:val="00D177BB"/>
    <w:rsid w:val="00D179CD"/>
    <w:rsid w:val="00D20631"/>
    <w:rsid w:val="00D20B04"/>
    <w:rsid w:val="00D20B55"/>
    <w:rsid w:val="00D22F5B"/>
    <w:rsid w:val="00D23B29"/>
    <w:rsid w:val="00D24050"/>
    <w:rsid w:val="00D24608"/>
    <w:rsid w:val="00D248A7"/>
    <w:rsid w:val="00D2497B"/>
    <w:rsid w:val="00D260DC"/>
    <w:rsid w:val="00D2637E"/>
    <w:rsid w:val="00D26AA3"/>
    <w:rsid w:val="00D27931"/>
    <w:rsid w:val="00D30304"/>
    <w:rsid w:val="00D32693"/>
    <w:rsid w:val="00D34A94"/>
    <w:rsid w:val="00D34C36"/>
    <w:rsid w:val="00D34E18"/>
    <w:rsid w:val="00D3511A"/>
    <w:rsid w:val="00D37C58"/>
    <w:rsid w:val="00D37EB6"/>
    <w:rsid w:val="00D41716"/>
    <w:rsid w:val="00D41D38"/>
    <w:rsid w:val="00D4379E"/>
    <w:rsid w:val="00D4642B"/>
    <w:rsid w:val="00D464AB"/>
    <w:rsid w:val="00D479B8"/>
    <w:rsid w:val="00D47CD4"/>
    <w:rsid w:val="00D52CB4"/>
    <w:rsid w:val="00D53663"/>
    <w:rsid w:val="00D56CB5"/>
    <w:rsid w:val="00D572EA"/>
    <w:rsid w:val="00D57A7B"/>
    <w:rsid w:val="00D61558"/>
    <w:rsid w:val="00D6165A"/>
    <w:rsid w:val="00D61D40"/>
    <w:rsid w:val="00D63FA5"/>
    <w:rsid w:val="00D649EA"/>
    <w:rsid w:val="00D65111"/>
    <w:rsid w:val="00D65DCB"/>
    <w:rsid w:val="00D664C1"/>
    <w:rsid w:val="00D70B33"/>
    <w:rsid w:val="00D714CF"/>
    <w:rsid w:val="00D719BF"/>
    <w:rsid w:val="00D7509A"/>
    <w:rsid w:val="00D77292"/>
    <w:rsid w:val="00D8022F"/>
    <w:rsid w:val="00D80B42"/>
    <w:rsid w:val="00D81E74"/>
    <w:rsid w:val="00D825FA"/>
    <w:rsid w:val="00D836C7"/>
    <w:rsid w:val="00D84086"/>
    <w:rsid w:val="00D85B19"/>
    <w:rsid w:val="00D8680B"/>
    <w:rsid w:val="00D90ADB"/>
    <w:rsid w:val="00D91CAC"/>
    <w:rsid w:val="00D91F78"/>
    <w:rsid w:val="00D91F79"/>
    <w:rsid w:val="00D92F84"/>
    <w:rsid w:val="00D9377E"/>
    <w:rsid w:val="00D93FB4"/>
    <w:rsid w:val="00D94439"/>
    <w:rsid w:val="00D94E99"/>
    <w:rsid w:val="00D9533F"/>
    <w:rsid w:val="00D953A9"/>
    <w:rsid w:val="00D95EC1"/>
    <w:rsid w:val="00D96C1C"/>
    <w:rsid w:val="00D97BDD"/>
    <w:rsid w:val="00D97CCC"/>
    <w:rsid w:val="00D97DF9"/>
    <w:rsid w:val="00DA1634"/>
    <w:rsid w:val="00DA1C41"/>
    <w:rsid w:val="00DA2D45"/>
    <w:rsid w:val="00DA34C5"/>
    <w:rsid w:val="00DA4785"/>
    <w:rsid w:val="00DA5442"/>
    <w:rsid w:val="00DA5C95"/>
    <w:rsid w:val="00DB0F3D"/>
    <w:rsid w:val="00DB1CAE"/>
    <w:rsid w:val="00DB23E7"/>
    <w:rsid w:val="00DB33B7"/>
    <w:rsid w:val="00DB349E"/>
    <w:rsid w:val="00DB3B22"/>
    <w:rsid w:val="00DB3F8D"/>
    <w:rsid w:val="00DB4E2E"/>
    <w:rsid w:val="00DB4E3D"/>
    <w:rsid w:val="00DB69A8"/>
    <w:rsid w:val="00DB77EC"/>
    <w:rsid w:val="00DB7BC1"/>
    <w:rsid w:val="00DB7C6C"/>
    <w:rsid w:val="00DC162E"/>
    <w:rsid w:val="00DC28F6"/>
    <w:rsid w:val="00DC4C25"/>
    <w:rsid w:val="00DC6B4E"/>
    <w:rsid w:val="00DC78A8"/>
    <w:rsid w:val="00DD0E07"/>
    <w:rsid w:val="00DD101A"/>
    <w:rsid w:val="00DD214C"/>
    <w:rsid w:val="00DD43F0"/>
    <w:rsid w:val="00DD4A16"/>
    <w:rsid w:val="00DD5A28"/>
    <w:rsid w:val="00DD7253"/>
    <w:rsid w:val="00DD74DE"/>
    <w:rsid w:val="00DD7FEC"/>
    <w:rsid w:val="00DE016D"/>
    <w:rsid w:val="00DE06BC"/>
    <w:rsid w:val="00DE0715"/>
    <w:rsid w:val="00DE3C13"/>
    <w:rsid w:val="00DE5DEF"/>
    <w:rsid w:val="00DE6251"/>
    <w:rsid w:val="00DE6DF5"/>
    <w:rsid w:val="00DE6F50"/>
    <w:rsid w:val="00DE6FDE"/>
    <w:rsid w:val="00DE72AC"/>
    <w:rsid w:val="00DE7D98"/>
    <w:rsid w:val="00DF05AD"/>
    <w:rsid w:val="00DF0608"/>
    <w:rsid w:val="00DF58A2"/>
    <w:rsid w:val="00DF67D2"/>
    <w:rsid w:val="00DF6C6E"/>
    <w:rsid w:val="00DF70DD"/>
    <w:rsid w:val="00DF7C68"/>
    <w:rsid w:val="00DF7E6B"/>
    <w:rsid w:val="00E02938"/>
    <w:rsid w:val="00E03153"/>
    <w:rsid w:val="00E039D3"/>
    <w:rsid w:val="00E04A5A"/>
    <w:rsid w:val="00E04CFB"/>
    <w:rsid w:val="00E05452"/>
    <w:rsid w:val="00E07254"/>
    <w:rsid w:val="00E103DF"/>
    <w:rsid w:val="00E12FF7"/>
    <w:rsid w:val="00E14C4D"/>
    <w:rsid w:val="00E15484"/>
    <w:rsid w:val="00E21254"/>
    <w:rsid w:val="00E21689"/>
    <w:rsid w:val="00E21B2E"/>
    <w:rsid w:val="00E2245D"/>
    <w:rsid w:val="00E224CC"/>
    <w:rsid w:val="00E23C34"/>
    <w:rsid w:val="00E24197"/>
    <w:rsid w:val="00E246F3"/>
    <w:rsid w:val="00E2479D"/>
    <w:rsid w:val="00E24F7B"/>
    <w:rsid w:val="00E25E90"/>
    <w:rsid w:val="00E26561"/>
    <w:rsid w:val="00E277A3"/>
    <w:rsid w:val="00E31881"/>
    <w:rsid w:val="00E318FB"/>
    <w:rsid w:val="00E31EA8"/>
    <w:rsid w:val="00E32382"/>
    <w:rsid w:val="00E32AC4"/>
    <w:rsid w:val="00E32FF0"/>
    <w:rsid w:val="00E338F7"/>
    <w:rsid w:val="00E34A9A"/>
    <w:rsid w:val="00E37F35"/>
    <w:rsid w:val="00E4010D"/>
    <w:rsid w:val="00E405A9"/>
    <w:rsid w:val="00E42B6B"/>
    <w:rsid w:val="00E436B5"/>
    <w:rsid w:val="00E44360"/>
    <w:rsid w:val="00E4440A"/>
    <w:rsid w:val="00E447DB"/>
    <w:rsid w:val="00E44DA6"/>
    <w:rsid w:val="00E4682C"/>
    <w:rsid w:val="00E476D9"/>
    <w:rsid w:val="00E50A3F"/>
    <w:rsid w:val="00E50DB7"/>
    <w:rsid w:val="00E511F1"/>
    <w:rsid w:val="00E51236"/>
    <w:rsid w:val="00E51F7D"/>
    <w:rsid w:val="00E52DF6"/>
    <w:rsid w:val="00E531EC"/>
    <w:rsid w:val="00E53662"/>
    <w:rsid w:val="00E55710"/>
    <w:rsid w:val="00E56016"/>
    <w:rsid w:val="00E572D8"/>
    <w:rsid w:val="00E612FC"/>
    <w:rsid w:val="00E616E4"/>
    <w:rsid w:val="00E6217B"/>
    <w:rsid w:val="00E62AD5"/>
    <w:rsid w:val="00E6439B"/>
    <w:rsid w:val="00E6477E"/>
    <w:rsid w:val="00E71913"/>
    <w:rsid w:val="00E72ED9"/>
    <w:rsid w:val="00E739BC"/>
    <w:rsid w:val="00E745D8"/>
    <w:rsid w:val="00E74C3A"/>
    <w:rsid w:val="00E76B7D"/>
    <w:rsid w:val="00E8003B"/>
    <w:rsid w:val="00E80AE0"/>
    <w:rsid w:val="00E82193"/>
    <w:rsid w:val="00E82260"/>
    <w:rsid w:val="00E82720"/>
    <w:rsid w:val="00E82889"/>
    <w:rsid w:val="00E830E6"/>
    <w:rsid w:val="00E8431A"/>
    <w:rsid w:val="00E86725"/>
    <w:rsid w:val="00E868EE"/>
    <w:rsid w:val="00E87931"/>
    <w:rsid w:val="00E92AC9"/>
    <w:rsid w:val="00E92C06"/>
    <w:rsid w:val="00E93A4D"/>
    <w:rsid w:val="00E94998"/>
    <w:rsid w:val="00E95F9D"/>
    <w:rsid w:val="00EA064B"/>
    <w:rsid w:val="00EA5B00"/>
    <w:rsid w:val="00EA5B37"/>
    <w:rsid w:val="00EA5E59"/>
    <w:rsid w:val="00EA7232"/>
    <w:rsid w:val="00EA79A0"/>
    <w:rsid w:val="00EB05F3"/>
    <w:rsid w:val="00EB181E"/>
    <w:rsid w:val="00EB1F4A"/>
    <w:rsid w:val="00EB2249"/>
    <w:rsid w:val="00EB2290"/>
    <w:rsid w:val="00EB2B74"/>
    <w:rsid w:val="00EB3702"/>
    <w:rsid w:val="00EB4B8D"/>
    <w:rsid w:val="00EB57DC"/>
    <w:rsid w:val="00EB71CC"/>
    <w:rsid w:val="00EB7B92"/>
    <w:rsid w:val="00EB7F24"/>
    <w:rsid w:val="00EC002D"/>
    <w:rsid w:val="00EC0AC7"/>
    <w:rsid w:val="00EC0E05"/>
    <w:rsid w:val="00EC111B"/>
    <w:rsid w:val="00EC1B19"/>
    <w:rsid w:val="00EC4D68"/>
    <w:rsid w:val="00EC58A6"/>
    <w:rsid w:val="00EC6694"/>
    <w:rsid w:val="00EC6EDF"/>
    <w:rsid w:val="00EC7E8C"/>
    <w:rsid w:val="00ED029D"/>
    <w:rsid w:val="00ED0678"/>
    <w:rsid w:val="00ED1454"/>
    <w:rsid w:val="00ED15B2"/>
    <w:rsid w:val="00ED23C4"/>
    <w:rsid w:val="00ED335C"/>
    <w:rsid w:val="00ED39BD"/>
    <w:rsid w:val="00ED3AA2"/>
    <w:rsid w:val="00ED4450"/>
    <w:rsid w:val="00ED452E"/>
    <w:rsid w:val="00ED4905"/>
    <w:rsid w:val="00ED5086"/>
    <w:rsid w:val="00ED57C3"/>
    <w:rsid w:val="00ED631A"/>
    <w:rsid w:val="00ED6470"/>
    <w:rsid w:val="00ED73BC"/>
    <w:rsid w:val="00EE0CAF"/>
    <w:rsid w:val="00EE353E"/>
    <w:rsid w:val="00EE5C1B"/>
    <w:rsid w:val="00EE71B1"/>
    <w:rsid w:val="00EE752A"/>
    <w:rsid w:val="00EF167D"/>
    <w:rsid w:val="00EF2CDF"/>
    <w:rsid w:val="00EF2D14"/>
    <w:rsid w:val="00EF3351"/>
    <w:rsid w:val="00EF5DC4"/>
    <w:rsid w:val="00EF6D71"/>
    <w:rsid w:val="00F00600"/>
    <w:rsid w:val="00F00676"/>
    <w:rsid w:val="00F00EBF"/>
    <w:rsid w:val="00F01634"/>
    <w:rsid w:val="00F01C60"/>
    <w:rsid w:val="00F031DD"/>
    <w:rsid w:val="00F0384B"/>
    <w:rsid w:val="00F0447D"/>
    <w:rsid w:val="00F05662"/>
    <w:rsid w:val="00F061FE"/>
    <w:rsid w:val="00F06232"/>
    <w:rsid w:val="00F07614"/>
    <w:rsid w:val="00F079F1"/>
    <w:rsid w:val="00F10596"/>
    <w:rsid w:val="00F108DB"/>
    <w:rsid w:val="00F10DDA"/>
    <w:rsid w:val="00F113DF"/>
    <w:rsid w:val="00F16124"/>
    <w:rsid w:val="00F161D7"/>
    <w:rsid w:val="00F167FB"/>
    <w:rsid w:val="00F17EE3"/>
    <w:rsid w:val="00F202F1"/>
    <w:rsid w:val="00F20E58"/>
    <w:rsid w:val="00F215EF"/>
    <w:rsid w:val="00F24396"/>
    <w:rsid w:val="00F24479"/>
    <w:rsid w:val="00F24559"/>
    <w:rsid w:val="00F249F2"/>
    <w:rsid w:val="00F2620C"/>
    <w:rsid w:val="00F27DE1"/>
    <w:rsid w:val="00F304C7"/>
    <w:rsid w:val="00F3051E"/>
    <w:rsid w:val="00F30599"/>
    <w:rsid w:val="00F31597"/>
    <w:rsid w:val="00F32E94"/>
    <w:rsid w:val="00F34B8B"/>
    <w:rsid w:val="00F3502B"/>
    <w:rsid w:val="00F35778"/>
    <w:rsid w:val="00F35BCD"/>
    <w:rsid w:val="00F3668D"/>
    <w:rsid w:val="00F36D93"/>
    <w:rsid w:val="00F36F4B"/>
    <w:rsid w:val="00F374C7"/>
    <w:rsid w:val="00F37A4C"/>
    <w:rsid w:val="00F4074C"/>
    <w:rsid w:val="00F40D09"/>
    <w:rsid w:val="00F419A3"/>
    <w:rsid w:val="00F430BD"/>
    <w:rsid w:val="00F442F9"/>
    <w:rsid w:val="00F4538D"/>
    <w:rsid w:val="00F46906"/>
    <w:rsid w:val="00F46B8A"/>
    <w:rsid w:val="00F5190F"/>
    <w:rsid w:val="00F53579"/>
    <w:rsid w:val="00F5374D"/>
    <w:rsid w:val="00F53A5D"/>
    <w:rsid w:val="00F54404"/>
    <w:rsid w:val="00F5557E"/>
    <w:rsid w:val="00F55FB0"/>
    <w:rsid w:val="00F561D7"/>
    <w:rsid w:val="00F5648C"/>
    <w:rsid w:val="00F57226"/>
    <w:rsid w:val="00F57552"/>
    <w:rsid w:val="00F60843"/>
    <w:rsid w:val="00F60E64"/>
    <w:rsid w:val="00F6432D"/>
    <w:rsid w:val="00F64B16"/>
    <w:rsid w:val="00F650FE"/>
    <w:rsid w:val="00F658C2"/>
    <w:rsid w:val="00F65B94"/>
    <w:rsid w:val="00F7228B"/>
    <w:rsid w:val="00F732FB"/>
    <w:rsid w:val="00F750A4"/>
    <w:rsid w:val="00F75E4E"/>
    <w:rsid w:val="00F76D28"/>
    <w:rsid w:val="00F7753D"/>
    <w:rsid w:val="00F776D4"/>
    <w:rsid w:val="00F778CC"/>
    <w:rsid w:val="00F80755"/>
    <w:rsid w:val="00F80D15"/>
    <w:rsid w:val="00F8151E"/>
    <w:rsid w:val="00F83244"/>
    <w:rsid w:val="00F83D20"/>
    <w:rsid w:val="00F85727"/>
    <w:rsid w:val="00F875FF"/>
    <w:rsid w:val="00F879BF"/>
    <w:rsid w:val="00F87A1A"/>
    <w:rsid w:val="00F87C8B"/>
    <w:rsid w:val="00F87F24"/>
    <w:rsid w:val="00F90A97"/>
    <w:rsid w:val="00F928D6"/>
    <w:rsid w:val="00F92D02"/>
    <w:rsid w:val="00F95C09"/>
    <w:rsid w:val="00F95E97"/>
    <w:rsid w:val="00F96FEA"/>
    <w:rsid w:val="00F97A30"/>
    <w:rsid w:val="00FA0926"/>
    <w:rsid w:val="00FA1046"/>
    <w:rsid w:val="00FA1335"/>
    <w:rsid w:val="00FA3BE6"/>
    <w:rsid w:val="00FA4718"/>
    <w:rsid w:val="00FA4883"/>
    <w:rsid w:val="00FA4EF4"/>
    <w:rsid w:val="00FA5589"/>
    <w:rsid w:val="00FA56ED"/>
    <w:rsid w:val="00FA5CB0"/>
    <w:rsid w:val="00FA6B0D"/>
    <w:rsid w:val="00FA7993"/>
    <w:rsid w:val="00FB138F"/>
    <w:rsid w:val="00FB1D8B"/>
    <w:rsid w:val="00FB2E13"/>
    <w:rsid w:val="00FB3294"/>
    <w:rsid w:val="00FB3A81"/>
    <w:rsid w:val="00FB4666"/>
    <w:rsid w:val="00FB57B4"/>
    <w:rsid w:val="00FB785A"/>
    <w:rsid w:val="00FC55D9"/>
    <w:rsid w:val="00FC69EF"/>
    <w:rsid w:val="00FD0DF5"/>
    <w:rsid w:val="00FD1F5C"/>
    <w:rsid w:val="00FD2D3E"/>
    <w:rsid w:val="00FD348F"/>
    <w:rsid w:val="00FD397B"/>
    <w:rsid w:val="00FD4F16"/>
    <w:rsid w:val="00FE031B"/>
    <w:rsid w:val="00FE129A"/>
    <w:rsid w:val="00FE198A"/>
    <w:rsid w:val="00FE45AE"/>
    <w:rsid w:val="00FE4910"/>
    <w:rsid w:val="00FE4F6F"/>
    <w:rsid w:val="00FE53F7"/>
    <w:rsid w:val="00FE567F"/>
    <w:rsid w:val="00FE730A"/>
    <w:rsid w:val="00FF17EF"/>
    <w:rsid w:val="00FF18C0"/>
    <w:rsid w:val="00FF2E57"/>
    <w:rsid w:val="00FF2FA4"/>
    <w:rsid w:val="00FF39DF"/>
    <w:rsid w:val="00FF52E3"/>
    <w:rsid w:val="00FF781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GT" w:eastAsia="es-G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198F"/>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9B198F"/>
    <w:pPr>
      <w:keepNext/>
      <w:numPr>
        <w:numId w:val="1"/>
      </w:numPr>
      <w:outlineLvl w:val="0"/>
    </w:pPr>
    <w:rPr>
      <w:b/>
      <w:bCs/>
    </w:rPr>
  </w:style>
  <w:style w:type="paragraph" w:styleId="Ttulo2">
    <w:name w:val="heading 2"/>
    <w:basedOn w:val="Normal"/>
    <w:next w:val="Normal"/>
    <w:link w:val="Ttulo2Car"/>
    <w:qFormat/>
    <w:rsid w:val="009B198F"/>
    <w:pPr>
      <w:keepNext/>
      <w:keepLines/>
      <w:numPr>
        <w:ilvl w:val="1"/>
        <w:numId w:val="1"/>
      </w:numPr>
      <w:spacing w:before="200"/>
      <w:outlineLvl w:val="1"/>
    </w:pPr>
    <w:rPr>
      <w:rFonts w:ascii="Cambria" w:hAnsi="Cambria"/>
      <w:b/>
      <w:bCs/>
      <w:color w:val="4F81BD"/>
      <w:sz w:val="26"/>
      <w:szCs w:val="26"/>
    </w:rPr>
  </w:style>
  <w:style w:type="paragraph" w:styleId="Ttulo3">
    <w:name w:val="heading 3"/>
    <w:basedOn w:val="Normal"/>
    <w:next w:val="Normal"/>
    <w:link w:val="Ttulo3Car"/>
    <w:qFormat/>
    <w:rsid w:val="009B198F"/>
    <w:pPr>
      <w:keepNext/>
      <w:keepLines/>
      <w:numPr>
        <w:ilvl w:val="2"/>
        <w:numId w:val="1"/>
      </w:numPr>
      <w:spacing w:before="200"/>
      <w:outlineLvl w:val="2"/>
    </w:pPr>
    <w:rPr>
      <w:rFonts w:ascii="Cambria" w:hAnsi="Cambria"/>
      <w:b/>
      <w:bCs/>
      <w:color w:val="4F81BD"/>
    </w:rPr>
  </w:style>
  <w:style w:type="paragraph" w:styleId="Ttulo4">
    <w:name w:val="heading 4"/>
    <w:basedOn w:val="Normal"/>
    <w:next w:val="Normal"/>
    <w:link w:val="Ttulo4Car"/>
    <w:qFormat/>
    <w:rsid w:val="009B198F"/>
    <w:pPr>
      <w:keepNext/>
      <w:keepLines/>
      <w:numPr>
        <w:ilvl w:val="3"/>
        <w:numId w:val="1"/>
      </w:numPr>
      <w:spacing w:before="200"/>
      <w:outlineLvl w:val="3"/>
    </w:pPr>
    <w:rPr>
      <w:rFonts w:ascii="Cambria" w:hAnsi="Cambria"/>
      <w:b/>
      <w:bCs/>
      <w:i/>
      <w:iCs/>
      <w:color w:val="4F81BD"/>
    </w:rPr>
  </w:style>
  <w:style w:type="paragraph" w:styleId="Ttulo5">
    <w:name w:val="heading 5"/>
    <w:basedOn w:val="Normal"/>
    <w:next w:val="Normal"/>
    <w:link w:val="Ttulo5Car"/>
    <w:qFormat/>
    <w:rsid w:val="009B198F"/>
    <w:pPr>
      <w:keepNext/>
      <w:keepLines/>
      <w:numPr>
        <w:ilvl w:val="4"/>
        <w:numId w:val="1"/>
      </w:numPr>
      <w:spacing w:before="200"/>
      <w:outlineLvl w:val="4"/>
    </w:pPr>
    <w:rPr>
      <w:rFonts w:ascii="Cambria" w:hAnsi="Cambria"/>
      <w:color w:val="243F60"/>
    </w:rPr>
  </w:style>
  <w:style w:type="paragraph" w:styleId="Ttulo6">
    <w:name w:val="heading 6"/>
    <w:basedOn w:val="Normal"/>
    <w:next w:val="Normal"/>
    <w:link w:val="Ttulo6Car"/>
    <w:qFormat/>
    <w:rsid w:val="009B198F"/>
    <w:pPr>
      <w:keepNext/>
      <w:keepLines/>
      <w:numPr>
        <w:ilvl w:val="5"/>
        <w:numId w:val="1"/>
      </w:numPr>
      <w:spacing w:before="200"/>
      <w:outlineLvl w:val="5"/>
    </w:pPr>
    <w:rPr>
      <w:rFonts w:ascii="Cambria" w:hAnsi="Cambria"/>
      <w:i/>
      <w:iCs/>
      <w:color w:val="243F60"/>
    </w:rPr>
  </w:style>
  <w:style w:type="paragraph" w:styleId="Ttulo7">
    <w:name w:val="heading 7"/>
    <w:basedOn w:val="Normal"/>
    <w:next w:val="Normal"/>
    <w:link w:val="Ttulo7Car"/>
    <w:qFormat/>
    <w:rsid w:val="009B198F"/>
    <w:pPr>
      <w:keepNext/>
      <w:keepLines/>
      <w:numPr>
        <w:ilvl w:val="6"/>
        <w:numId w:val="1"/>
      </w:numPr>
      <w:spacing w:before="200"/>
      <w:outlineLvl w:val="6"/>
    </w:pPr>
    <w:rPr>
      <w:rFonts w:ascii="Cambria" w:hAnsi="Cambria"/>
      <w:i/>
      <w:iCs/>
      <w:color w:val="404040"/>
    </w:rPr>
  </w:style>
  <w:style w:type="paragraph" w:styleId="Ttulo8">
    <w:name w:val="heading 8"/>
    <w:basedOn w:val="Normal"/>
    <w:next w:val="Normal"/>
    <w:link w:val="Ttulo8Car"/>
    <w:qFormat/>
    <w:rsid w:val="009B198F"/>
    <w:pPr>
      <w:keepNext/>
      <w:keepLines/>
      <w:numPr>
        <w:ilvl w:val="7"/>
        <w:numId w:val="1"/>
      </w:numPr>
      <w:spacing w:before="200"/>
      <w:outlineLvl w:val="7"/>
    </w:pPr>
    <w:rPr>
      <w:rFonts w:ascii="Cambria" w:hAnsi="Cambria"/>
      <w:color w:val="404040"/>
      <w:sz w:val="20"/>
      <w:szCs w:val="20"/>
    </w:rPr>
  </w:style>
  <w:style w:type="paragraph" w:styleId="Ttulo9">
    <w:name w:val="heading 9"/>
    <w:basedOn w:val="Normal"/>
    <w:next w:val="Normal"/>
    <w:link w:val="Ttulo9Car"/>
    <w:qFormat/>
    <w:rsid w:val="009B198F"/>
    <w:pPr>
      <w:keepNext/>
      <w:keepLines/>
      <w:numPr>
        <w:ilvl w:val="8"/>
        <w:numId w:val="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B198F"/>
    <w:rPr>
      <w:rFonts w:ascii="Times New Roman" w:eastAsia="Times New Roman" w:hAnsi="Times New Roman"/>
      <w:b/>
      <w:bCs/>
      <w:sz w:val="24"/>
      <w:szCs w:val="24"/>
      <w:lang w:val="es-ES" w:eastAsia="es-ES"/>
    </w:rPr>
  </w:style>
  <w:style w:type="character" w:customStyle="1" w:styleId="Ttulo2Car">
    <w:name w:val="Título 2 Car"/>
    <w:link w:val="Ttulo2"/>
    <w:rsid w:val="009B198F"/>
    <w:rPr>
      <w:rFonts w:ascii="Cambria" w:eastAsia="Times New Roman" w:hAnsi="Cambria"/>
      <w:b/>
      <w:bCs/>
      <w:color w:val="4F81BD"/>
      <w:sz w:val="26"/>
      <w:szCs w:val="26"/>
      <w:lang w:val="es-ES" w:eastAsia="es-ES"/>
    </w:rPr>
  </w:style>
  <w:style w:type="character" w:customStyle="1" w:styleId="Ttulo3Car">
    <w:name w:val="Título 3 Car"/>
    <w:link w:val="Ttulo3"/>
    <w:rsid w:val="009B198F"/>
    <w:rPr>
      <w:rFonts w:ascii="Cambria" w:eastAsia="Times New Roman" w:hAnsi="Cambria"/>
      <w:b/>
      <w:bCs/>
      <w:color w:val="4F81BD"/>
      <w:sz w:val="24"/>
      <w:szCs w:val="24"/>
      <w:lang w:val="es-ES" w:eastAsia="es-ES"/>
    </w:rPr>
  </w:style>
  <w:style w:type="character" w:customStyle="1" w:styleId="Ttulo4Car">
    <w:name w:val="Título 4 Car"/>
    <w:link w:val="Ttulo4"/>
    <w:rsid w:val="009B198F"/>
    <w:rPr>
      <w:rFonts w:ascii="Cambria" w:eastAsia="Times New Roman" w:hAnsi="Cambria"/>
      <w:b/>
      <w:bCs/>
      <w:i/>
      <w:iCs/>
      <w:color w:val="4F81BD"/>
      <w:sz w:val="24"/>
      <w:szCs w:val="24"/>
      <w:lang w:val="es-ES" w:eastAsia="es-ES"/>
    </w:rPr>
  </w:style>
  <w:style w:type="character" w:customStyle="1" w:styleId="Ttulo5Car">
    <w:name w:val="Título 5 Car"/>
    <w:link w:val="Ttulo5"/>
    <w:rsid w:val="009B198F"/>
    <w:rPr>
      <w:rFonts w:ascii="Cambria" w:eastAsia="Times New Roman" w:hAnsi="Cambria"/>
      <w:color w:val="243F60"/>
      <w:sz w:val="24"/>
      <w:szCs w:val="24"/>
      <w:lang w:val="es-ES" w:eastAsia="es-ES"/>
    </w:rPr>
  </w:style>
  <w:style w:type="character" w:customStyle="1" w:styleId="Ttulo6Car">
    <w:name w:val="Título 6 Car"/>
    <w:link w:val="Ttulo6"/>
    <w:rsid w:val="009B198F"/>
    <w:rPr>
      <w:rFonts w:ascii="Cambria" w:eastAsia="Times New Roman" w:hAnsi="Cambria"/>
      <w:i/>
      <w:iCs/>
      <w:color w:val="243F60"/>
      <w:sz w:val="24"/>
      <w:szCs w:val="24"/>
      <w:lang w:val="es-ES" w:eastAsia="es-ES"/>
    </w:rPr>
  </w:style>
  <w:style w:type="character" w:customStyle="1" w:styleId="Ttulo7Car">
    <w:name w:val="Título 7 Car"/>
    <w:link w:val="Ttulo7"/>
    <w:rsid w:val="009B198F"/>
    <w:rPr>
      <w:rFonts w:ascii="Cambria" w:eastAsia="Times New Roman" w:hAnsi="Cambria"/>
      <w:i/>
      <w:iCs/>
      <w:color w:val="404040"/>
      <w:sz w:val="24"/>
      <w:szCs w:val="24"/>
      <w:lang w:val="es-ES" w:eastAsia="es-ES"/>
    </w:rPr>
  </w:style>
  <w:style w:type="character" w:customStyle="1" w:styleId="Ttulo8Car">
    <w:name w:val="Título 8 Car"/>
    <w:link w:val="Ttulo8"/>
    <w:rsid w:val="009B198F"/>
    <w:rPr>
      <w:rFonts w:ascii="Cambria" w:eastAsia="Times New Roman" w:hAnsi="Cambria"/>
      <w:color w:val="404040"/>
      <w:lang w:val="es-ES" w:eastAsia="es-ES"/>
    </w:rPr>
  </w:style>
  <w:style w:type="character" w:customStyle="1" w:styleId="Ttulo9Car">
    <w:name w:val="Título 9 Car"/>
    <w:link w:val="Ttulo9"/>
    <w:rsid w:val="009B198F"/>
    <w:rPr>
      <w:rFonts w:ascii="Cambria" w:eastAsia="Times New Roman" w:hAnsi="Cambria"/>
      <w:i/>
      <w:iCs/>
      <w:color w:val="404040"/>
      <w:lang w:val="es-ES" w:eastAsia="es-ES"/>
    </w:rPr>
  </w:style>
  <w:style w:type="paragraph" w:styleId="Encabezado">
    <w:name w:val="header"/>
    <w:basedOn w:val="Normal"/>
    <w:link w:val="EncabezadoCar"/>
    <w:uiPriority w:val="99"/>
    <w:rsid w:val="009B198F"/>
    <w:pPr>
      <w:tabs>
        <w:tab w:val="center" w:pos="4252"/>
        <w:tab w:val="right" w:pos="8504"/>
      </w:tabs>
    </w:pPr>
    <w:rPr>
      <w:lang w:val="x-none" w:eastAsia="x-none"/>
    </w:rPr>
  </w:style>
  <w:style w:type="character" w:customStyle="1" w:styleId="EncabezadoCar">
    <w:name w:val="Encabezado Car"/>
    <w:link w:val="Encabezado"/>
    <w:uiPriority w:val="99"/>
    <w:rsid w:val="009B198F"/>
    <w:rPr>
      <w:rFonts w:ascii="Times New Roman" w:eastAsia="Times New Roman" w:hAnsi="Times New Roman" w:cs="Times New Roman"/>
      <w:sz w:val="24"/>
      <w:szCs w:val="24"/>
      <w:lang w:val="x-none" w:eastAsia="x-none"/>
    </w:rPr>
  </w:style>
  <w:style w:type="character" w:styleId="Nmerodepgina">
    <w:name w:val="page number"/>
    <w:basedOn w:val="Fuentedeprrafopredeter"/>
    <w:rsid w:val="009B198F"/>
  </w:style>
  <w:style w:type="paragraph" w:customStyle="1" w:styleId="ListParagraph1">
    <w:name w:val="List Paragraph1"/>
    <w:basedOn w:val="Normal"/>
    <w:rsid w:val="009B198F"/>
    <w:pPr>
      <w:ind w:left="720"/>
    </w:pPr>
  </w:style>
  <w:style w:type="paragraph" w:customStyle="1" w:styleId="Prrafodelista1">
    <w:name w:val="Párrafo de lista1"/>
    <w:basedOn w:val="Normal"/>
    <w:uiPriority w:val="34"/>
    <w:qFormat/>
    <w:rsid w:val="009B198F"/>
    <w:pPr>
      <w:ind w:left="708"/>
    </w:pPr>
    <w:rPr>
      <w:rFonts w:eastAsia="Calibri"/>
    </w:rPr>
  </w:style>
  <w:style w:type="paragraph" w:styleId="Prrafodelista">
    <w:name w:val="List Paragraph"/>
    <w:aliases w:val="Párrafo de lista 2"/>
    <w:basedOn w:val="Normal"/>
    <w:link w:val="PrrafodelistaCar"/>
    <w:uiPriority w:val="34"/>
    <w:qFormat/>
    <w:rsid w:val="009B198F"/>
    <w:pPr>
      <w:ind w:left="708"/>
    </w:pPr>
  </w:style>
  <w:style w:type="paragraph" w:styleId="Textodeglobo">
    <w:name w:val="Balloon Text"/>
    <w:basedOn w:val="Normal"/>
    <w:link w:val="TextodegloboCar"/>
    <w:uiPriority w:val="99"/>
    <w:unhideWhenUsed/>
    <w:rsid w:val="00BF318F"/>
    <w:rPr>
      <w:rFonts w:ascii="Tahoma" w:hAnsi="Tahoma" w:cs="Tahoma"/>
      <w:sz w:val="16"/>
      <w:szCs w:val="16"/>
    </w:rPr>
  </w:style>
  <w:style w:type="character" w:customStyle="1" w:styleId="TextodegloboCar">
    <w:name w:val="Texto de globo Car"/>
    <w:link w:val="Textodeglobo"/>
    <w:uiPriority w:val="99"/>
    <w:rsid w:val="00BF318F"/>
    <w:rPr>
      <w:rFonts w:ascii="Tahoma" w:eastAsia="Times New Roman" w:hAnsi="Tahoma" w:cs="Tahoma"/>
      <w:sz w:val="16"/>
      <w:szCs w:val="16"/>
      <w:lang w:val="es-ES" w:eastAsia="es-ES"/>
    </w:rPr>
  </w:style>
  <w:style w:type="paragraph" w:styleId="Textonotapie">
    <w:name w:val="footnote text"/>
    <w:aliases w:val="Texto nota pie Car Car Car Car Car Car,Texto nota pie Car Car Car Car Car Car Car,Texto nota pie Car Car Car Car Car Car Ca,ft,ft Car,ft Car Car,Texto nota pie2,ft1,ft Car Car Car1,Texto nota pie Car2,ft Car Car2,ft Car Car Car,fn"/>
    <w:basedOn w:val="Normal"/>
    <w:link w:val="TextonotapieCar"/>
    <w:rsid w:val="00BF318F"/>
    <w:rPr>
      <w:sz w:val="20"/>
      <w:szCs w:val="20"/>
    </w:rPr>
  </w:style>
  <w:style w:type="character" w:customStyle="1" w:styleId="TextonotapieCar">
    <w:name w:val="Texto nota pie Car"/>
    <w:aliases w:val="Texto nota pie Car Car Car Car Car Car Car1,Texto nota pie Car Car Car Car Car Car Car Car,Texto nota pie Car Car Car Car Car Car Ca Car,ft Car1,ft Car Car1,ft Car Car Car2,Texto nota pie2 Car,ft1 Car,ft Car Car Car1 Car,fn Car"/>
    <w:link w:val="Textonotapie"/>
    <w:uiPriority w:val="99"/>
    <w:rsid w:val="00BF318F"/>
    <w:rPr>
      <w:rFonts w:ascii="Times New Roman" w:eastAsia="Times New Roman" w:hAnsi="Times New Roman" w:cs="Times New Roman"/>
      <w:sz w:val="20"/>
      <w:szCs w:val="20"/>
      <w:lang w:val="es-ES" w:eastAsia="es-ES"/>
    </w:rPr>
  </w:style>
  <w:style w:type="character" w:styleId="Refdenotaalpie">
    <w:name w:val="footnote reference"/>
    <w:aliases w:val="ftref,16 Point,Superscript 6 Point,fr,Footnote Reference Number,Footnote Reference_LVL6,Footnote Reference_LVL61,Footnote Reference_LVL62,Footnote Reference_LVL63,Footnote Reference_LVL64,SUPERS,EN Footnote Reference,number"/>
    <w:uiPriority w:val="99"/>
    <w:rsid w:val="00BF318F"/>
    <w:rPr>
      <w:vertAlign w:val="superscript"/>
    </w:rPr>
  </w:style>
  <w:style w:type="paragraph" w:customStyle="1" w:styleId="Default">
    <w:name w:val="Default"/>
    <w:rsid w:val="00BF318F"/>
    <w:pPr>
      <w:widowControl w:val="0"/>
      <w:autoSpaceDE w:val="0"/>
      <w:autoSpaceDN w:val="0"/>
      <w:adjustRightInd w:val="0"/>
    </w:pPr>
    <w:rPr>
      <w:rFonts w:ascii="Felix Titling" w:eastAsia="Times New Roman" w:hAnsi="Felix Titling" w:cs="Felix Titling"/>
      <w:color w:val="000000"/>
      <w:sz w:val="24"/>
      <w:szCs w:val="24"/>
      <w:lang w:val="es-ES" w:eastAsia="es-ES"/>
    </w:rPr>
  </w:style>
  <w:style w:type="paragraph" w:customStyle="1" w:styleId="CM49">
    <w:name w:val="CM49"/>
    <w:basedOn w:val="Default"/>
    <w:next w:val="Default"/>
    <w:uiPriority w:val="99"/>
    <w:rsid w:val="006C7AF9"/>
    <w:pPr>
      <w:spacing w:after="105"/>
    </w:pPr>
    <w:rPr>
      <w:rFonts w:cs="Times New Roman"/>
      <w:color w:val="auto"/>
    </w:rPr>
  </w:style>
  <w:style w:type="table" w:styleId="Tablaconcuadrcula">
    <w:name w:val="Table Grid"/>
    <w:basedOn w:val="Tablanormal"/>
    <w:uiPriority w:val="59"/>
    <w:rsid w:val="001B07B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iPriority w:val="99"/>
    <w:unhideWhenUsed/>
    <w:rsid w:val="00001941"/>
    <w:pPr>
      <w:tabs>
        <w:tab w:val="center" w:pos="4419"/>
        <w:tab w:val="right" w:pos="8838"/>
      </w:tabs>
    </w:pPr>
  </w:style>
  <w:style w:type="character" w:customStyle="1" w:styleId="PiedepginaCar">
    <w:name w:val="Pie de página Car"/>
    <w:link w:val="Piedepgina"/>
    <w:uiPriority w:val="99"/>
    <w:rsid w:val="00001941"/>
    <w:rPr>
      <w:rFonts w:ascii="Times New Roman" w:eastAsia="Times New Roman" w:hAnsi="Times New Roman" w:cs="Times New Roman"/>
      <w:sz w:val="24"/>
      <w:szCs w:val="24"/>
      <w:lang w:val="es-ES" w:eastAsia="es-ES"/>
    </w:rPr>
  </w:style>
  <w:style w:type="character" w:styleId="Textoennegrita">
    <w:name w:val="Strong"/>
    <w:uiPriority w:val="22"/>
    <w:qFormat/>
    <w:rsid w:val="00534E33"/>
    <w:rPr>
      <w:b/>
      <w:bCs/>
    </w:rPr>
  </w:style>
  <w:style w:type="character" w:styleId="Hipervnculo">
    <w:name w:val="Hyperlink"/>
    <w:uiPriority w:val="99"/>
    <w:unhideWhenUsed/>
    <w:rsid w:val="00A34A28"/>
    <w:rPr>
      <w:color w:val="0000FF"/>
      <w:u w:val="single"/>
    </w:rPr>
  </w:style>
  <w:style w:type="character" w:styleId="Hipervnculovisitado">
    <w:name w:val="FollowedHyperlink"/>
    <w:uiPriority w:val="99"/>
    <w:semiHidden/>
    <w:unhideWhenUsed/>
    <w:rsid w:val="009F7DEF"/>
    <w:rPr>
      <w:color w:val="800080"/>
      <w:u w:val="single"/>
    </w:rPr>
  </w:style>
  <w:style w:type="paragraph" w:styleId="NormalWeb">
    <w:name w:val="Normal (Web)"/>
    <w:basedOn w:val="Normal"/>
    <w:uiPriority w:val="99"/>
    <w:unhideWhenUsed/>
    <w:rsid w:val="000520A7"/>
    <w:pPr>
      <w:spacing w:before="100" w:beforeAutospacing="1" w:after="100" w:afterAutospacing="1"/>
    </w:pPr>
    <w:rPr>
      <w:rFonts w:eastAsiaTheme="minorEastAsia"/>
      <w:lang w:val="es-GT" w:eastAsia="es-GT"/>
    </w:rPr>
  </w:style>
  <w:style w:type="paragraph" w:styleId="Sinespaciado">
    <w:name w:val="No Spacing"/>
    <w:uiPriority w:val="1"/>
    <w:qFormat/>
    <w:rsid w:val="00C7413E"/>
    <w:rPr>
      <w:rFonts w:asciiTheme="minorHAnsi" w:eastAsiaTheme="minorEastAsia" w:hAnsiTheme="minorHAnsi" w:cstheme="minorBidi"/>
      <w:sz w:val="24"/>
      <w:szCs w:val="24"/>
      <w:lang w:val="es-ES_tradnl" w:eastAsia="ja-JP"/>
    </w:rPr>
  </w:style>
  <w:style w:type="paragraph" w:styleId="TtulodeTDC">
    <w:name w:val="TOC Heading"/>
    <w:basedOn w:val="Ttulo1"/>
    <w:next w:val="Normal"/>
    <w:uiPriority w:val="39"/>
    <w:unhideWhenUsed/>
    <w:qFormat/>
    <w:rsid w:val="00D61558"/>
    <w:pPr>
      <w:keepLines/>
      <w:numPr>
        <w:numId w:val="0"/>
      </w:numPr>
      <w:spacing w:before="480" w:line="276" w:lineRule="auto"/>
      <w:outlineLvl w:val="9"/>
    </w:pPr>
    <w:rPr>
      <w:rFonts w:asciiTheme="majorHAnsi" w:eastAsiaTheme="majorEastAsia" w:hAnsiTheme="majorHAnsi" w:cstheme="majorBidi"/>
      <w:color w:val="A5A5A5" w:themeColor="accent1" w:themeShade="BF"/>
      <w:sz w:val="28"/>
      <w:szCs w:val="28"/>
      <w:lang w:val="es-GT" w:eastAsia="es-GT"/>
    </w:rPr>
  </w:style>
  <w:style w:type="paragraph" w:styleId="TDC1">
    <w:name w:val="toc 1"/>
    <w:basedOn w:val="Normal"/>
    <w:next w:val="Normal"/>
    <w:autoRedefine/>
    <w:uiPriority w:val="39"/>
    <w:unhideWhenUsed/>
    <w:qFormat/>
    <w:rsid w:val="00E44DA6"/>
    <w:pPr>
      <w:tabs>
        <w:tab w:val="left" w:pos="480"/>
        <w:tab w:val="right" w:leader="dot" w:pos="9346"/>
      </w:tabs>
      <w:spacing w:after="100"/>
      <w:jc w:val="right"/>
    </w:pPr>
  </w:style>
  <w:style w:type="paragraph" w:styleId="TDC2">
    <w:name w:val="toc 2"/>
    <w:basedOn w:val="Normal"/>
    <w:next w:val="Normal"/>
    <w:autoRedefine/>
    <w:uiPriority w:val="39"/>
    <w:unhideWhenUsed/>
    <w:qFormat/>
    <w:rsid w:val="000775C1"/>
    <w:pPr>
      <w:tabs>
        <w:tab w:val="left" w:pos="880"/>
        <w:tab w:val="right" w:leader="dot" w:pos="8828"/>
      </w:tabs>
      <w:spacing w:after="100"/>
      <w:ind w:left="240"/>
    </w:pPr>
  </w:style>
  <w:style w:type="paragraph" w:styleId="TDC3">
    <w:name w:val="toc 3"/>
    <w:basedOn w:val="Normal"/>
    <w:next w:val="Normal"/>
    <w:autoRedefine/>
    <w:uiPriority w:val="39"/>
    <w:unhideWhenUsed/>
    <w:qFormat/>
    <w:rsid w:val="00D61558"/>
    <w:pPr>
      <w:spacing w:after="100"/>
      <w:ind w:left="480"/>
    </w:pPr>
  </w:style>
  <w:style w:type="character" w:styleId="Refdecomentario">
    <w:name w:val="annotation reference"/>
    <w:basedOn w:val="Fuentedeprrafopredeter"/>
    <w:uiPriority w:val="99"/>
    <w:semiHidden/>
    <w:unhideWhenUsed/>
    <w:rsid w:val="00B372A0"/>
    <w:rPr>
      <w:sz w:val="16"/>
      <w:szCs w:val="16"/>
    </w:rPr>
  </w:style>
  <w:style w:type="paragraph" w:styleId="Textocomentario">
    <w:name w:val="annotation text"/>
    <w:basedOn w:val="Normal"/>
    <w:link w:val="TextocomentarioCar"/>
    <w:uiPriority w:val="99"/>
    <w:semiHidden/>
    <w:unhideWhenUsed/>
    <w:rsid w:val="00B372A0"/>
    <w:rPr>
      <w:sz w:val="20"/>
      <w:szCs w:val="20"/>
    </w:rPr>
  </w:style>
  <w:style w:type="character" w:customStyle="1" w:styleId="TextocomentarioCar">
    <w:name w:val="Texto comentario Car"/>
    <w:basedOn w:val="Fuentedeprrafopredeter"/>
    <w:link w:val="Textocomentario"/>
    <w:uiPriority w:val="99"/>
    <w:semiHidden/>
    <w:rsid w:val="00B372A0"/>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B372A0"/>
    <w:rPr>
      <w:b/>
      <w:bCs/>
    </w:rPr>
  </w:style>
  <w:style w:type="character" w:customStyle="1" w:styleId="AsuntodelcomentarioCar">
    <w:name w:val="Asunto del comentario Car"/>
    <w:basedOn w:val="TextocomentarioCar"/>
    <w:link w:val="Asuntodelcomentario"/>
    <w:uiPriority w:val="99"/>
    <w:semiHidden/>
    <w:rsid w:val="00B372A0"/>
    <w:rPr>
      <w:rFonts w:ascii="Times New Roman" w:eastAsia="Times New Roman" w:hAnsi="Times New Roman"/>
      <w:b/>
      <w:bCs/>
      <w:lang w:val="es-ES" w:eastAsia="es-ES"/>
    </w:rPr>
  </w:style>
  <w:style w:type="paragraph" w:customStyle="1" w:styleId="Normallatin">
    <w:name w:val="Normal+(latin"/>
    <w:basedOn w:val="Textoindependiente"/>
    <w:rsid w:val="00570585"/>
  </w:style>
  <w:style w:type="paragraph" w:styleId="Textoindependiente">
    <w:name w:val="Body Text"/>
    <w:basedOn w:val="Normal"/>
    <w:link w:val="TextoindependienteCar"/>
    <w:uiPriority w:val="99"/>
    <w:semiHidden/>
    <w:unhideWhenUsed/>
    <w:rsid w:val="00570585"/>
    <w:pPr>
      <w:spacing w:after="120"/>
    </w:pPr>
  </w:style>
  <w:style w:type="character" w:customStyle="1" w:styleId="TextoindependienteCar">
    <w:name w:val="Texto independiente Car"/>
    <w:basedOn w:val="Fuentedeprrafopredeter"/>
    <w:link w:val="Textoindependiente"/>
    <w:uiPriority w:val="99"/>
    <w:semiHidden/>
    <w:rsid w:val="00570585"/>
    <w:rPr>
      <w:rFonts w:ascii="Times New Roman" w:eastAsia="Times New Roman" w:hAnsi="Times New Roman"/>
      <w:sz w:val="24"/>
      <w:szCs w:val="24"/>
      <w:lang w:val="es-ES" w:eastAsia="es-ES"/>
    </w:rPr>
  </w:style>
  <w:style w:type="paragraph" w:customStyle="1" w:styleId="Normallatin0">
    <w:name w:val="Normal +(latin"/>
    <w:basedOn w:val="Sangradetextonormal"/>
    <w:rsid w:val="00570585"/>
  </w:style>
  <w:style w:type="paragraph" w:styleId="Sangradetextonormal">
    <w:name w:val="Body Text Indent"/>
    <w:basedOn w:val="Normal"/>
    <w:link w:val="SangradetextonormalCar"/>
    <w:uiPriority w:val="99"/>
    <w:semiHidden/>
    <w:unhideWhenUsed/>
    <w:rsid w:val="00570585"/>
    <w:pPr>
      <w:spacing w:after="120"/>
      <w:ind w:left="283"/>
    </w:pPr>
  </w:style>
  <w:style w:type="character" w:customStyle="1" w:styleId="SangradetextonormalCar">
    <w:name w:val="Sangría de texto normal Car"/>
    <w:basedOn w:val="Fuentedeprrafopredeter"/>
    <w:link w:val="Sangradetextonormal"/>
    <w:uiPriority w:val="99"/>
    <w:semiHidden/>
    <w:rsid w:val="00570585"/>
    <w:rPr>
      <w:rFonts w:ascii="Times New Roman" w:eastAsia="Times New Roman" w:hAnsi="Times New Roman"/>
      <w:sz w:val="24"/>
      <w:szCs w:val="24"/>
      <w:lang w:val="es-ES" w:eastAsia="es-ES"/>
    </w:rPr>
  </w:style>
  <w:style w:type="character" w:styleId="nfasis">
    <w:name w:val="Emphasis"/>
    <w:uiPriority w:val="20"/>
    <w:qFormat/>
    <w:rsid w:val="00570585"/>
    <w:rPr>
      <w:rFonts w:cs="Times New Roman"/>
      <w:i/>
      <w:iCs/>
    </w:rPr>
  </w:style>
  <w:style w:type="paragraph" w:customStyle="1" w:styleId="bodytext">
    <w:name w:val="bodytext"/>
    <w:basedOn w:val="Normal"/>
    <w:rsid w:val="00BF34AC"/>
    <w:pPr>
      <w:spacing w:before="100" w:beforeAutospacing="1" w:after="100" w:afterAutospacing="1"/>
    </w:pPr>
    <w:rPr>
      <w:lang w:val="es-GT" w:eastAsia="es-GT"/>
    </w:rPr>
  </w:style>
  <w:style w:type="character" w:customStyle="1" w:styleId="PrrafodelistaCar">
    <w:name w:val="Párrafo de lista Car"/>
    <w:aliases w:val="Párrafo de lista 2 Car"/>
    <w:link w:val="Prrafodelista"/>
    <w:uiPriority w:val="34"/>
    <w:rsid w:val="00884D4E"/>
    <w:rPr>
      <w:rFonts w:ascii="Times New Roman" w:eastAsia="Times New Roman" w:hAnsi="Times New Roman"/>
      <w:sz w:val="24"/>
      <w:szCs w:val="24"/>
      <w:lang w:val="es-ES" w:eastAsia="es-ES"/>
    </w:rPr>
  </w:style>
  <w:style w:type="paragraph" w:styleId="Listaconvietas">
    <w:name w:val="List Bullet"/>
    <w:basedOn w:val="Normal"/>
    <w:uiPriority w:val="99"/>
    <w:unhideWhenUsed/>
    <w:rsid w:val="00981DC6"/>
    <w:pPr>
      <w:numPr>
        <w:numId w:val="12"/>
      </w:numPr>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GT" w:eastAsia="es-GT"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198F"/>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9B198F"/>
    <w:pPr>
      <w:keepNext/>
      <w:numPr>
        <w:numId w:val="1"/>
      </w:numPr>
      <w:outlineLvl w:val="0"/>
    </w:pPr>
    <w:rPr>
      <w:b/>
      <w:bCs/>
    </w:rPr>
  </w:style>
  <w:style w:type="paragraph" w:styleId="Ttulo2">
    <w:name w:val="heading 2"/>
    <w:basedOn w:val="Normal"/>
    <w:next w:val="Normal"/>
    <w:link w:val="Ttulo2Car"/>
    <w:qFormat/>
    <w:rsid w:val="009B198F"/>
    <w:pPr>
      <w:keepNext/>
      <w:keepLines/>
      <w:numPr>
        <w:ilvl w:val="1"/>
        <w:numId w:val="1"/>
      </w:numPr>
      <w:spacing w:before="200"/>
      <w:outlineLvl w:val="1"/>
    </w:pPr>
    <w:rPr>
      <w:rFonts w:ascii="Cambria" w:hAnsi="Cambria"/>
      <w:b/>
      <w:bCs/>
      <w:color w:val="4F81BD"/>
      <w:sz w:val="26"/>
      <w:szCs w:val="26"/>
    </w:rPr>
  </w:style>
  <w:style w:type="paragraph" w:styleId="Ttulo3">
    <w:name w:val="heading 3"/>
    <w:basedOn w:val="Normal"/>
    <w:next w:val="Normal"/>
    <w:link w:val="Ttulo3Car"/>
    <w:qFormat/>
    <w:rsid w:val="009B198F"/>
    <w:pPr>
      <w:keepNext/>
      <w:keepLines/>
      <w:numPr>
        <w:ilvl w:val="2"/>
        <w:numId w:val="1"/>
      </w:numPr>
      <w:spacing w:before="200"/>
      <w:outlineLvl w:val="2"/>
    </w:pPr>
    <w:rPr>
      <w:rFonts w:ascii="Cambria" w:hAnsi="Cambria"/>
      <w:b/>
      <w:bCs/>
      <w:color w:val="4F81BD"/>
    </w:rPr>
  </w:style>
  <w:style w:type="paragraph" w:styleId="Ttulo4">
    <w:name w:val="heading 4"/>
    <w:basedOn w:val="Normal"/>
    <w:next w:val="Normal"/>
    <w:link w:val="Ttulo4Car"/>
    <w:qFormat/>
    <w:rsid w:val="009B198F"/>
    <w:pPr>
      <w:keepNext/>
      <w:keepLines/>
      <w:numPr>
        <w:ilvl w:val="3"/>
        <w:numId w:val="1"/>
      </w:numPr>
      <w:spacing w:before="200"/>
      <w:outlineLvl w:val="3"/>
    </w:pPr>
    <w:rPr>
      <w:rFonts w:ascii="Cambria" w:hAnsi="Cambria"/>
      <w:b/>
      <w:bCs/>
      <w:i/>
      <w:iCs/>
      <w:color w:val="4F81BD"/>
    </w:rPr>
  </w:style>
  <w:style w:type="paragraph" w:styleId="Ttulo5">
    <w:name w:val="heading 5"/>
    <w:basedOn w:val="Normal"/>
    <w:next w:val="Normal"/>
    <w:link w:val="Ttulo5Car"/>
    <w:qFormat/>
    <w:rsid w:val="009B198F"/>
    <w:pPr>
      <w:keepNext/>
      <w:keepLines/>
      <w:numPr>
        <w:ilvl w:val="4"/>
        <w:numId w:val="1"/>
      </w:numPr>
      <w:spacing w:before="200"/>
      <w:outlineLvl w:val="4"/>
    </w:pPr>
    <w:rPr>
      <w:rFonts w:ascii="Cambria" w:hAnsi="Cambria"/>
      <w:color w:val="243F60"/>
    </w:rPr>
  </w:style>
  <w:style w:type="paragraph" w:styleId="Ttulo6">
    <w:name w:val="heading 6"/>
    <w:basedOn w:val="Normal"/>
    <w:next w:val="Normal"/>
    <w:link w:val="Ttulo6Car"/>
    <w:qFormat/>
    <w:rsid w:val="009B198F"/>
    <w:pPr>
      <w:keepNext/>
      <w:keepLines/>
      <w:numPr>
        <w:ilvl w:val="5"/>
        <w:numId w:val="1"/>
      </w:numPr>
      <w:spacing w:before="200"/>
      <w:outlineLvl w:val="5"/>
    </w:pPr>
    <w:rPr>
      <w:rFonts w:ascii="Cambria" w:hAnsi="Cambria"/>
      <w:i/>
      <w:iCs/>
      <w:color w:val="243F60"/>
    </w:rPr>
  </w:style>
  <w:style w:type="paragraph" w:styleId="Ttulo7">
    <w:name w:val="heading 7"/>
    <w:basedOn w:val="Normal"/>
    <w:next w:val="Normal"/>
    <w:link w:val="Ttulo7Car"/>
    <w:qFormat/>
    <w:rsid w:val="009B198F"/>
    <w:pPr>
      <w:keepNext/>
      <w:keepLines/>
      <w:numPr>
        <w:ilvl w:val="6"/>
        <w:numId w:val="1"/>
      </w:numPr>
      <w:spacing w:before="200"/>
      <w:outlineLvl w:val="6"/>
    </w:pPr>
    <w:rPr>
      <w:rFonts w:ascii="Cambria" w:hAnsi="Cambria"/>
      <w:i/>
      <w:iCs/>
      <w:color w:val="404040"/>
    </w:rPr>
  </w:style>
  <w:style w:type="paragraph" w:styleId="Ttulo8">
    <w:name w:val="heading 8"/>
    <w:basedOn w:val="Normal"/>
    <w:next w:val="Normal"/>
    <w:link w:val="Ttulo8Car"/>
    <w:qFormat/>
    <w:rsid w:val="009B198F"/>
    <w:pPr>
      <w:keepNext/>
      <w:keepLines/>
      <w:numPr>
        <w:ilvl w:val="7"/>
        <w:numId w:val="1"/>
      </w:numPr>
      <w:spacing w:before="200"/>
      <w:outlineLvl w:val="7"/>
    </w:pPr>
    <w:rPr>
      <w:rFonts w:ascii="Cambria" w:hAnsi="Cambria"/>
      <w:color w:val="404040"/>
      <w:sz w:val="20"/>
      <w:szCs w:val="20"/>
    </w:rPr>
  </w:style>
  <w:style w:type="paragraph" w:styleId="Ttulo9">
    <w:name w:val="heading 9"/>
    <w:basedOn w:val="Normal"/>
    <w:next w:val="Normal"/>
    <w:link w:val="Ttulo9Car"/>
    <w:qFormat/>
    <w:rsid w:val="009B198F"/>
    <w:pPr>
      <w:keepNext/>
      <w:keepLines/>
      <w:numPr>
        <w:ilvl w:val="8"/>
        <w:numId w:val="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B198F"/>
    <w:rPr>
      <w:rFonts w:ascii="Times New Roman" w:eastAsia="Times New Roman" w:hAnsi="Times New Roman"/>
      <w:b/>
      <w:bCs/>
      <w:sz w:val="24"/>
      <w:szCs w:val="24"/>
      <w:lang w:val="es-ES" w:eastAsia="es-ES"/>
    </w:rPr>
  </w:style>
  <w:style w:type="character" w:customStyle="1" w:styleId="Ttulo2Car">
    <w:name w:val="Título 2 Car"/>
    <w:link w:val="Ttulo2"/>
    <w:rsid w:val="009B198F"/>
    <w:rPr>
      <w:rFonts w:ascii="Cambria" w:eastAsia="Times New Roman" w:hAnsi="Cambria"/>
      <w:b/>
      <w:bCs/>
      <w:color w:val="4F81BD"/>
      <w:sz w:val="26"/>
      <w:szCs w:val="26"/>
      <w:lang w:val="es-ES" w:eastAsia="es-ES"/>
    </w:rPr>
  </w:style>
  <w:style w:type="character" w:customStyle="1" w:styleId="Ttulo3Car">
    <w:name w:val="Título 3 Car"/>
    <w:link w:val="Ttulo3"/>
    <w:rsid w:val="009B198F"/>
    <w:rPr>
      <w:rFonts w:ascii="Cambria" w:eastAsia="Times New Roman" w:hAnsi="Cambria"/>
      <w:b/>
      <w:bCs/>
      <w:color w:val="4F81BD"/>
      <w:sz w:val="24"/>
      <w:szCs w:val="24"/>
      <w:lang w:val="es-ES" w:eastAsia="es-ES"/>
    </w:rPr>
  </w:style>
  <w:style w:type="character" w:customStyle="1" w:styleId="Ttulo4Car">
    <w:name w:val="Título 4 Car"/>
    <w:link w:val="Ttulo4"/>
    <w:rsid w:val="009B198F"/>
    <w:rPr>
      <w:rFonts w:ascii="Cambria" w:eastAsia="Times New Roman" w:hAnsi="Cambria"/>
      <w:b/>
      <w:bCs/>
      <w:i/>
      <w:iCs/>
      <w:color w:val="4F81BD"/>
      <w:sz w:val="24"/>
      <w:szCs w:val="24"/>
      <w:lang w:val="es-ES" w:eastAsia="es-ES"/>
    </w:rPr>
  </w:style>
  <w:style w:type="character" w:customStyle="1" w:styleId="Ttulo5Car">
    <w:name w:val="Título 5 Car"/>
    <w:link w:val="Ttulo5"/>
    <w:rsid w:val="009B198F"/>
    <w:rPr>
      <w:rFonts w:ascii="Cambria" w:eastAsia="Times New Roman" w:hAnsi="Cambria"/>
      <w:color w:val="243F60"/>
      <w:sz w:val="24"/>
      <w:szCs w:val="24"/>
      <w:lang w:val="es-ES" w:eastAsia="es-ES"/>
    </w:rPr>
  </w:style>
  <w:style w:type="character" w:customStyle="1" w:styleId="Ttulo6Car">
    <w:name w:val="Título 6 Car"/>
    <w:link w:val="Ttulo6"/>
    <w:rsid w:val="009B198F"/>
    <w:rPr>
      <w:rFonts w:ascii="Cambria" w:eastAsia="Times New Roman" w:hAnsi="Cambria"/>
      <w:i/>
      <w:iCs/>
      <w:color w:val="243F60"/>
      <w:sz w:val="24"/>
      <w:szCs w:val="24"/>
      <w:lang w:val="es-ES" w:eastAsia="es-ES"/>
    </w:rPr>
  </w:style>
  <w:style w:type="character" w:customStyle="1" w:styleId="Ttulo7Car">
    <w:name w:val="Título 7 Car"/>
    <w:link w:val="Ttulo7"/>
    <w:rsid w:val="009B198F"/>
    <w:rPr>
      <w:rFonts w:ascii="Cambria" w:eastAsia="Times New Roman" w:hAnsi="Cambria"/>
      <w:i/>
      <w:iCs/>
      <w:color w:val="404040"/>
      <w:sz w:val="24"/>
      <w:szCs w:val="24"/>
      <w:lang w:val="es-ES" w:eastAsia="es-ES"/>
    </w:rPr>
  </w:style>
  <w:style w:type="character" w:customStyle="1" w:styleId="Ttulo8Car">
    <w:name w:val="Título 8 Car"/>
    <w:link w:val="Ttulo8"/>
    <w:rsid w:val="009B198F"/>
    <w:rPr>
      <w:rFonts w:ascii="Cambria" w:eastAsia="Times New Roman" w:hAnsi="Cambria"/>
      <w:color w:val="404040"/>
      <w:lang w:val="es-ES" w:eastAsia="es-ES"/>
    </w:rPr>
  </w:style>
  <w:style w:type="character" w:customStyle="1" w:styleId="Ttulo9Car">
    <w:name w:val="Título 9 Car"/>
    <w:link w:val="Ttulo9"/>
    <w:rsid w:val="009B198F"/>
    <w:rPr>
      <w:rFonts w:ascii="Cambria" w:eastAsia="Times New Roman" w:hAnsi="Cambria"/>
      <w:i/>
      <w:iCs/>
      <w:color w:val="404040"/>
      <w:lang w:val="es-ES" w:eastAsia="es-ES"/>
    </w:rPr>
  </w:style>
  <w:style w:type="paragraph" w:styleId="Encabezado">
    <w:name w:val="header"/>
    <w:basedOn w:val="Normal"/>
    <w:link w:val="EncabezadoCar"/>
    <w:uiPriority w:val="99"/>
    <w:rsid w:val="009B198F"/>
    <w:pPr>
      <w:tabs>
        <w:tab w:val="center" w:pos="4252"/>
        <w:tab w:val="right" w:pos="8504"/>
      </w:tabs>
    </w:pPr>
    <w:rPr>
      <w:lang w:val="x-none" w:eastAsia="x-none"/>
    </w:rPr>
  </w:style>
  <w:style w:type="character" w:customStyle="1" w:styleId="EncabezadoCar">
    <w:name w:val="Encabezado Car"/>
    <w:link w:val="Encabezado"/>
    <w:uiPriority w:val="99"/>
    <w:rsid w:val="009B198F"/>
    <w:rPr>
      <w:rFonts w:ascii="Times New Roman" w:eastAsia="Times New Roman" w:hAnsi="Times New Roman" w:cs="Times New Roman"/>
      <w:sz w:val="24"/>
      <w:szCs w:val="24"/>
      <w:lang w:val="x-none" w:eastAsia="x-none"/>
    </w:rPr>
  </w:style>
  <w:style w:type="character" w:styleId="Nmerodepgina">
    <w:name w:val="page number"/>
    <w:basedOn w:val="Fuentedeprrafopredeter"/>
    <w:rsid w:val="009B198F"/>
  </w:style>
  <w:style w:type="paragraph" w:customStyle="1" w:styleId="ListParagraph1">
    <w:name w:val="List Paragraph1"/>
    <w:basedOn w:val="Normal"/>
    <w:rsid w:val="009B198F"/>
    <w:pPr>
      <w:ind w:left="720"/>
    </w:pPr>
  </w:style>
  <w:style w:type="paragraph" w:customStyle="1" w:styleId="Prrafodelista1">
    <w:name w:val="Párrafo de lista1"/>
    <w:basedOn w:val="Normal"/>
    <w:uiPriority w:val="34"/>
    <w:qFormat/>
    <w:rsid w:val="009B198F"/>
    <w:pPr>
      <w:ind w:left="708"/>
    </w:pPr>
    <w:rPr>
      <w:rFonts w:eastAsia="Calibri"/>
    </w:rPr>
  </w:style>
  <w:style w:type="paragraph" w:styleId="Prrafodelista">
    <w:name w:val="List Paragraph"/>
    <w:aliases w:val="Párrafo de lista 2"/>
    <w:basedOn w:val="Normal"/>
    <w:link w:val="PrrafodelistaCar"/>
    <w:uiPriority w:val="34"/>
    <w:qFormat/>
    <w:rsid w:val="009B198F"/>
    <w:pPr>
      <w:ind w:left="708"/>
    </w:pPr>
  </w:style>
  <w:style w:type="paragraph" w:styleId="Textodeglobo">
    <w:name w:val="Balloon Text"/>
    <w:basedOn w:val="Normal"/>
    <w:link w:val="TextodegloboCar"/>
    <w:uiPriority w:val="99"/>
    <w:unhideWhenUsed/>
    <w:rsid w:val="00BF318F"/>
    <w:rPr>
      <w:rFonts w:ascii="Tahoma" w:hAnsi="Tahoma" w:cs="Tahoma"/>
      <w:sz w:val="16"/>
      <w:szCs w:val="16"/>
    </w:rPr>
  </w:style>
  <w:style w:type="character" w:customStyle="1" w:styleId="TextodegloboCar">
    <w:name w:val="Texto de globo Car"/>
    <w:link w:val="Textodeglobo"/>
    <w:uiPriority w:val="99"/>
    <w:rsid w:val="00BF318F"/>
    <w:rPr>
      <w:rFonts w:ascii="Tahoma" w:eastAsia="Times New Roman" w:hAnsi="Tahoma" w:cs="Tahoma"/>
      <w:sz w:val="16"/>
      <w:szCs w:val="16"/>
      <w:lang w:val="es-ES" w:eastAsia="es-ES"/>
    </w:rPr>
  </w:style>
  <w:style w:type="paragraph" w:styleId="Textonotapie">
    <w:name w:val="footnote text"/>
    <w:aliases w:val="Texto nota pie Car Car Car Car Car Car,Texto nota pie Car Car Car Car Car Car Car,Texto nota pie Car Car Car Car Car Car Ca,ft,ft Car,ft Car Car,Texto nota pie2,ft1,ft Car Car Car1,Texto nota pie Car2,ft Car Car2,ft Car Car Car,fn"/>
    <w:basedOn w:val="Normal"/>
    <w:link w:val="TextonotapieCar"/>
    <w:rsid w:val="00BF318F"/>
    <w:rPr>
      <w:sz w:val="20"/>
      <w:szCs w:val="20"/>
    </w:rPr>
  </w:style>
  <w:style w:type="character" w:customStyle="1" w:styleId="TextonotapieCar">
    <w:name w:val="Texto nota pie Car"/>
    <w:aliases w:val="Texto nota pie Car Car Car Car Car Car Car1,Texto nota pie Car Car Car Car Car Car Car Car,Texto nota pie Car Car Car Car Car Car Ca Car,ft Car1,ft Car Car1,ft Car Car Car2,Texto nota pie2 Car,ft1 Car,ft Car Car Car1 Car,fn Car"/>
    <w:link w:val="Textonotapie"/>
    <w:uiPriority w:val="99"/>
    <w:rsid w:val="00BF318F"/>
    <w:rPr>
      <w:rFonts w:ascii="Times New Roman" w:eastAsia="Times New Roman" w:hAnsi="Times New Roman" w:cs="Times New Roman"/>
      <w:sz w:val="20"/>
      <w:szCs w:val="20"/>
      <w:lang w:val="es-ES" w:eastAsia="es-ES"/>
    </w:rPr>
  </w:style>
  <w:style w:type="character" w:styleId="Refdenotaalpie">
    <w:name w:val="footnote reference"/>
    <w:aliases w:val="ftref,16 Point,Superscript 6 Point,fr,Footnote Reference Number,Footnote Reference_LVL6,Footnote Reference_LVL61,Footnote Reference_LVL62,Footnote Reference_LVL63,Footnote Reference_LVL64,SUPERS,EN Footnote Reference,number"/>
    <w:uiPriority w:val="99"/>
    <w:rsid w:val="00BF318F"/>
    <w:rPr>
      <w:vertAlign w:val="superscript"/>
    </w:rPr>
  </w:style>
  <w:style w:type="paragraph" w:customStyle="1" w:styleId="Default">
    <w:name w:val="Default"/>
    <w:rsid w:val="00BF318F"/>
    <w:pPr>
      <w:widowControl w:val="0"/>
      <w:autoSpaceDE w:val="0"/>
      <w:autoSpaceDN w:val="0"/>
      <w:adjustRightInd w:val="0"/>
    </w:pPr>
    <w:rPr>
      <w:rFonts w:ascii="Felix Titling" w:eastAsia="Times New Roman" w:hAnsi="Felix Titling" w:cs="Felix Titling"/>
      <w:color w:val="000000"/>
      <w:sz w:val="24"/>
      <w:szCs w:val="24"/>
      <w:lang w:val="es-ES" w:eastAsia="es-ES"/>
    </w:rPr>
  </w:style>
  <w:style w:type="paragraph" w:customStyle="1" w:styleId="CM49">
    <w:name w:val="CM49"/>
    <w:basedOn w:val="Default"/>
    <w:next w:val="Default"/>
    <w:uiPriority w:val="99"/>
    <w:rsid w:val="006C7AF9"/>
    <w:pPr>
      <w:spacing w:after="105"/>
    </w:pPr>
    <w:rPr>
      <w:rFonts w:cs="Times New Roman"/>
      <w:color w:val="auto"/>
    </w:rPr>
  </w:style>
  <w:style w:type="table" w:styleId="Tablaconcuadrcula">
    <w:name w:val="Table Grid"/>
    <w:basedOn w:val="Tablanormal"/>
    <w:uiPriority w:val="59"/>
    <w:rsid w:val="001B07B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iPriority w:val="99"/>
    <w:unhideWhenUsed/>
    <w:rsid w:val="00001941"/>
    <w:pPr>
      <w:tabs>
        <w:tab w:val="center" w:pos="4419"/>
        <w:tab w:val="right" w:pos="8838"/>
      </w:tabs>
    </w:pPr>
  </w:style>
  <w:style w:type="character" w:customStyle="1" w:styleId="PiedepginaCar">
    <w:name w:val="Pie de página Car"/>
    <w:link w:val="Piedepgina"/>
    <w:uiPriority w:val="99"/>
    <w:rsid w:val="00001941"/>
    <w:rPr>
      <w:rFonts w:ascii="Times New Roman" w:eastAsia="Times New Roman" w:hAnsi="Times New Roman" w:cs="Times New Roman"/>
      <w:sz w:val="24"/>
      <w:szCs w:val="24"/>
      <w:lang w:val="es-ES" w:eastAsia="es-ES"/>
    </w:rPr>
  </w:style>
  <w:style w:type="character" w:styleId="Textoennegrita">
    <w:name w:val="Strong"/>
    <w:uiPriority w:val="22"/>
    <w:qFormat/>
    <w:rsid w:val="00534E33"/>
    <w:rPr>
      <w:b/>
      <w:bCs/>
    </w:rPr>
  </w:style>
  <w:style w:type="character" w:styleId="Hipervnculo">
    <w:name w:val="Hyperlink"/>
    <w:uiPriority w:val="99"/>
    <w:unhideWhenUsed/>
    <w:rsid w:val="00A34A28"/>
    <w:rPr>
      <w:color w:val="0000FF"/>
      <w:u w:val="single"/>
    </w:rPr>
  </w:style>
  <w:style w:type="character" w:styleId="Hipervnculovisitado">
    <w:name w:val="FollowedHyperlink"/>
    <w:uiPriority w:val="99"/>
    <w:semiHidden/>
    <w:unhideWhenUsed/>
    <w:rsid w:val="009F7DEF"/>
    <w:rPr>
      <w:color w:val="800080"/>
      <w:u w:val="single"/>
    </w:rPr>
  </w:style>
  <w:style w:type="paragraph" w:styleId="NormalWeb">
    <w:name w:val="Normal (Web)"/>
    <w:basedOn w:val="Normal"/>
    <w:uiPriority w:val="99"/>
    <w:unhideWhenUsed/>
    <w:rsid w:val="000520A7"/>
    <w:pPr>
      <w:spacing w:before="100" w:beforeAutospacing="1" w:after="100" w:afterAutospacing="1"/>
    </w:pPr>
    <w:rPr>
      <w:rFonts w:eastAsiaTheme="minorEastAsia"/>
      <w:lang w:val="es-GT" w:eastAsia="es-GT"/>
    </w:rPr>
  </w:style>
  <w:style w:type="paragraph" w:styleId="Sinespaciado">
    <w:name w:val="No Spacing"/>
    <w:uiPriority w:val="1"/>
    <w:qFormat/>
    <w:rsid w:val="00C7413E"/>
    <w:rPr>
      <w:rFonts w:asciiTheme="minorHAnsi" w:eastAsiaTheme="minorEastAsia" w:hAnsiTheme="minorHAnsi" w:cstheme="minorBidi"/>
      <w:sz w:val="24"/>
      <w:szCs w:val="24"/>
      <w:lang w:val="es-ES_tradnl" w:eastAsia="ja-JP"/>
    </w:rPr>
  </w:style>
  <w:style w:type="paragraph" w:styleId="TtulodeTDC">
    <w:name w:val="TOC Heading"/>
    <w:basedOn w:val="Ttulo1"/>
    <w:next w:val="Normal"/>
    <w:uiPriority w:val="39"/>
    <w:unhideWhenUsed/>
    <w:qFormat/>
    <w:rsid w:val="00D61558"/>
    <w:pPr>
      <w:keepLines/>
      <w:numPr>
        <w:numId w:val="0"/>
      </w:numPr>
      <w:spacing w:before="480" w:line="276" w:lineRule="auto"/>
      <w:outlineLvl w:val="9"/>
    </w:pPr>
    <w:rPr>
      <w:rFonts w:asciiTheme="majorHAnsi" w:eastAsiaTheme="majorEastAsia" w:hAnsiTheme="majorHAnsi" w:cstheme="majorBidi"/>
      <w:color w:val="A5A5A5" w:themeColor="accent1" w:themeShade="BF"/>
      <w:sz w:val="28"/>
      <w:szCs w:val="28"/>
      <w:lang w:val="es-GT" w:eastAsia="es-GT"/>
    </w:rPr>
  </w:style>
  <w:style w:type="paragraph" w:styleId="TDC1">
    <w:name w:val="toc 1"/>
    <w:basedOn w:val="Normal"/>
    <w:next w:val="Normal"/>
    <w:autoRedefine/>
    <w:uiPriority w:val="39"/>
    <w:unhideWhenUsed/>
    <w:qFormat/>
    <w:rsid w:val="00E44DA6"/>
    <w:pPr>
      <w:tabs>
        <w:tab w:val="left" w:pos="480"/>
        <w:tab w:val="right" w:leader="dot" w:pos="9346"/>
      </w:tabs>
      <w:spacing w:after="100"/>
      <w:jc w:val="right"/>
    </w:pPr>
  </w:style>
  <w:style w:type="paragraph" w:styleId="TDC2">
    <w:name w:val="toc 2"/>
    <w:basedOn w:val="Normal"/>
    <w:next w:val="Normal"/>
    <w:autoRedefine/>
    <w:uiPriority w:val="39"/>
    <w:unhideWhenUsed/>
    <w:qFormat/>
    <w:rsid w:val="000775C1"/>
    <w:pPr>
      <w:tabs>
        <w:tab w:val="left" w:pos="880"/>
        <w:tab w:val="right" w:leader="dot" w:pos="8828"/>
      </w:tabs>
      <w:spacing w:after="100"/>
      <w:ind w:left="240"/>
    </w:pPr>
  </w:style>
  <w:style w:type="paragraph" w:styleId="TDC3">
    <w:name w:val="toc 3"/>
    <w:basedOn w:val="Normal"/>
    <w:next w:val="Normal"/>
    <w:autoRedefine/>
    <w:uiPriority w:val="39"/>
    <w:unhideWhenUsed/>
    <w:qFormat/>
    <w:rsid w:val="00D61558"/>
    <w:pPr>
      <w:spacing w:after="100"/>
      <w:ind w:left="480"/>
    </w:pPr>
  </w:style>
  <w:style w:type="character" w:styleId="Refdecomentario">
    <w:name w:val="annotation reference"/>
    <w:basedOn w:val="Fuentedeprrafopredeter"/>
    <w:uiPriority w:val="99"/>
    <w:semiHidden/>
    <w:unhideWhenUsed/>
    <w:rsid w:val="00B372A0"/>
    <w:rPr>
      <w:sz w:val="16"/>
      <w:szCs w:val="16"/>
    </w:rPr>
  </w:style>
  <w:style w:type="paragraph" w:styleId="Textocomentario">
    <w:name w:val="annotation text"/>
    <w:basedOn w:val="Normal"/>
    <w:link w:val="TextocomentarioCar"/>
    <w:uiPriority w:val="99"/>
    <w:semiHidden/>
    <w:unhideWhenUsed/>
    <w:rsid w:val="00B372A0"/>
    <w:rPr>
      <w:sz w:val="20"/>
      <w:szCs w:val="20"/>
    </w:rPr>
  </w:style>
  <w:style w:type="character" w:customStyle="1" w:styleId="TextocomentarioCar">
    <w:name w:val="Texto comentario Car"/>
    <w:basedOn w:val="Fuentedeprrafopredeter"/>
    <w:link w:val="Textocomentario"/>
    <w:uiPriority w:val="99"/>
    <w:semiHidden/>
    <w:rsid w:val="00B372A0"/>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B372A0"/>
    <w:rPr>
      <w:b/>
      <w:bCs/>
    </w:rPr>
  </w:style>
  <w:style w:type="character" w:customStyle="1" w:styleId="AsuntodelcomentarioCar">
    <w:name w:val="Asunto del comentario Car"/>
    <w:basedOn w:val="TextocomentarioCar"/>
    <w:link w:val="Asuntodelcomentario"/>
    <w:uiPriority w:val="99"/>
    <w:semiHidden/>
    <w:rsid w:val="00B372A0"/>
    <w:rPr>
      <w:rFonts w:ascii="Times New Roman" w:eastAsia="Times New Roman" w:hAnsi="Times New Roman"/>
      <w:b/>
      <w:bCs/>
      <w:lang w:val="es-ES" w:eastAsia="es-ES"/>
    </w:rPr>
  </w:style>
  <w:style w:type="paragraph" w:customStyle="1" w:styleId="Normallatin">
    <w:name w:val="Normal+(latin"/>
    <w:basedOn w:val="Textoindependiente"/>
    <w:rsid w:val="00570585"/>
  </w:style>
  <w:style w:type="paragraph" w:styleId="Textoindependiente">
    <w:name w:val="Body Text"/>
    <w:basedOn w:val="Normal"/>
    <w:link w:val="TextoindependienteCar"/>
    <w:uiPriority w:val="99"/>
    <w:semiHidden/>
    <w:unhideWhenUsed/>
    <w:rsid w:val="00570585"/>
    <w:pPr>
      <w:spacing w:after="120"/>
    </w:pPr>
  </w:style>
  <w:style w:type="character" w:customStyle="1" w:styleId="TextoindependienteCar">
    <w:name w:val="Texto independiente Car"/>
    <w:basedOn w:val="Fuentedeprrafopredeter"/>
    <w:link w:val="Textoindependiente"/>
    <w:uiPriority w:val="99"/>
    <w:semiHidden/>
    <w:rsid w:val="00570585"/>
    <w:rPr>
      <w:rFonts w:ascii="Times New Roman" w:eastAsia="Times New Roman" w:hAnsi="Times New Roman"/>
      <w:sz w:val="24"/>
      <w:szCs w:val="24"/>
      <w:lang w:val="es-ES" w:eastAsia="es-ES"/>
    </w:rPr>
  </w:style>
  <w:style w:type="paragraph" w:customStyle="1" w:styleId="Normallatin0">
    <w:name w:val="Normal +(latin"/>
    <w:basedOn w:val="Sangradetextonormal"/>
    <w:rsid w:val="00570585"/>
  </w:style>
  <w:style w:type="paragraph" w:styleId="Sangradetextonormal">
    <w:name w:val="Body Text Indent"/>
    <w:basedOn w:val="Normal"/>
    <w:link w:val="SangradetextonormalCar"/>
    <w:uiPriority w:val="99"/>
    <w:semiHidden/>
    <w:unhideWhenUsed/>
    <w:rsid w:val="00570585"/>
    <w:pPr>
      <w:spacing w:after="120"/>
      <w:ind w:left="283"/>
    </w:pPr>
  </w:style>
  <w:style w:type="character" w:customStyle="1" w:styleId="SangradetextonormalCar">
    <w:name w:val="Sangría de texto normal Car"/>
    <w:basedOn w:val="Fuentedeprrafopredeter"/>
    <w:link w:val="Sangradetextonormal"/>
    <w:uiPriority w:val="99"/>
    <w:semiHidden/>
    <w:rsid w:val="00570585"/>
    <w:rPr>
      <w:rFonts w:ascii="Times New Roman" w:eastAsia="Times New Roman" w:hAnsi="Times New Roman"/>
      <w:sz w:val="24"/>
      <w:szCs w:val="24"/>
      <w:lang w:val="es-ES" w:eastAsia="es-ES"/>
    </w:rPr>
  </w:style>
  <w:style w:type="character" w:styleId="nfasis">
    <w:name w:val="Emphasis"/>
    <w:uiPriority w:val="20"/>
    <w:qFormat/>
    <w:rsid w:val="00570585"/>
    <w:rPr>
      <w:rFonts w:cs="Times New Roman"/>
      <w:i/>
      <w:iCs/>
    </w:rPr>
  </w:style>
  <w:style w:type="paragraph" w:customStyle="1" w:styleId="bodytext">
    <w:name w:val="bodytext"/>
    <w:basedOn w:val="Normal"/>
    <w:rsid w:val="00BF34AC"/>
    <w:pPr>
      <w:spacing w:before="100" w:beforeAutospacing="1" w:after="100" w:afterAutospacing="1"/>
    </w:pPr>
    <w:rPr>
      <w:lang w:val="es-GT" w:eastAsia="es-GT"/>
    </w:rPr>
  </w:style>
  <w:style w:type="character" w:customStyle="1" w:styleId="PrrafodelistaCar">
    <w:name w:val="Párrafo de lista Car"/>
    <w:aliases w:val="Párrafo de lista 2 Car"/>
    <w:link w:val="Prrafodelista"/>
    <w:uiPriority w:val="34"/>
    <w:rsid w:val="00884D4E"/>
    <w:rPr>
      <w:rFonts w:ascii="Times New Roman" w:eastAsia="Times New Roman" w:hAnsi="Times New Roman"/>
      <w:sz w:val="24"/>
      <w:szCs w:val="24"/>
      <w:lang w:val="es-ES" w:eastAsia="es-ES"/>
    </w:rPr>
  </w:style>
  <w:style w:type="paragraph" w:styleId="Listaconvietas">
    <w:name w:val="List Bullet"/>
    <w:basedOn w:val="Normal"/>
    <w:uiPriority w:val="99"/>
    <w:unhideWhenUsed/>
    <w:rsid w:val="00981DC6"/>
    <w:pPr>
      <w:numPr>
        <w:numId w:val="12"/>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7564">
      <w:bodyDiv w:val="1"/>
      <w:marLeft w:val="0"/>
      <w:marRight w:val="0"/>
      <w:marTop w:val="0"/>
      <w:marBottom w:val="0"/>
      <w:divBdr>
        <w:top w:val="none" w:sz="0" w:space="0" w:color="auto"/>
        <w:left w:val="none" w:sz="0" w:space="0" w:color="auto"/>
        <w:bottom w:val="none" w:sz="0" w:space="0" w:color="auto"/>
        <w:right w:val="none" w:sz="0" w:space="0" w:color="auto"/>
      </w:divBdr>
      <w:divsChild>
        <w:div w:id="1464498466">
          <w:marLeft w:val="274"/>
          <w:marRight w:val="0"/>
          <w:marTop w:val="0"/>
          <w:marBottom w:val="240"/>
          <w:divBdr>
            <w:top w:val="none" w:sz="0" w:space="0" w:color="auto"/>
            <w:left w:val="none" w:sz="0" w:space="0" w:color="auto"/>
            <w:bottom w:val="none" w:sz="0" w:space="0" w:color="auto"/>
            <w:right w:val="none" w:sz="0" w:space="0" w:color="auto"/>
          </w:divBdr>
        </w:div>
        <w:div w:id="1479304816">
          <w:marLeft w:val="274"/>
          <w:marRight w:val="0"/>
          <w:marTop w:val="0"/>
          <w:marBottom w:val="240"/>
          <w:divBdr>
            <w:top w:val="none" w:sz="0" w:space="0" w:color="auto"/>
            <w:left w:val="none" w:sz="0" w:space="0" w:color="auto"/>
            <w:bottom w:val="none" w:sz="0" w:space="0" w:color="auto"/>
            <w:right w:val="none" w:sz="0" w:space="0" w:color="auto"/>
          </w:divBdr>
        </w:div>
        <w:div w:id="1884439074">
          <w:marLeft w:val="274"/>
          <w:marRight w:val="0"/>
          <w:marTop w:val="0"/>
          <w:marBottom w:val="240"/>
          <w:divBdr>
            <w:top w:val="none" w:sz="0" w:space="0" w:color="auto"/>
            <w:left w:val="none" w:sz="0" w:space="0" w:color="auto"/>
            <w:bottom w:val="none" w:sz="0" w:space="0" w:color="auto"/>
            <w:right w:val="none" w:sz="0" w:space="0" w:color="auto"/>
          </w:divBdr>
        </w:div>
      </w:divsChild>
    </w:div>
    <w:div w:id="12615010">
      <w:bodyDiv w:val="1"/>
      <w:marLeft w:val="0"/>
      <w:marRight w:val="0"/>
      <w:marTop w:val="0"/>
      <w:marBottom w:val="0"/>
      <w:divBdr>
        <w:top w:val="none" w:sz="0" w:space="0" w:color="auto"/>
        <w:left w:val="none" w:sz="0" w:space="0" w:color="auto"/>
        <w:bottom w:val="none" w:sz="0" w:space="0" w:color="auto"/>
        <w:right w:val="none" w:sz="0" w:space="0" w:color="auto"/>
      </w:divBdr>
      <w:divsChild>
        <w:div w:id="874804913">
          <w:marLeft w:val="576"/>
          <w:marRight w:val="0"/>
          <w:marTop w:val="120"/>
          <w:marBottom w:val="0"/>
          <w:divBdr>
            <w:top w:val="none" w:sz="0" w:space="0" w:color="auto"/>
            <w:left w:val="none" w:sz="0" w:space="0" w:color="auto"/>
            <w:bottom w:val="none" w:sz="0" w:space="0" w:color="auto"/>
            <w:right w:val="none" w:sz="0" w:space="0" w:color="auto"/>
          </w:divBdr>
        </w:div>
      </w:divsChild>
    </w:div>
    <w:div w:id="31074974">
      <w:bodyDiv w:val="1"/>
      <w:marLeft w:val="0"/>
      <w:marRight w:val="0"/>
      <w:marTop w:val="0"/>
      <w:marBottom w:val="0"/>
      <w:divBdr>
        <w:top w:val="none" w:sz="0" w:space="0" w:color="auto"/>
        <w:left w:val="none" w:sz="0" w:space="0" w:color="auto"/>
        <w:bottom w:val="none" w:sz="0" w:space="0" w:color="auto"/>
        <w:right w:val="none" w:sz="0" w:space="0" w:color="auto"/>
      </w:divBdr>
    </w:div>
    <w:div w:id="33192894">
      <w:bodyDiv w:val="1"/>
      <w:marLeft w:val="0"/>
      <w:marRight w:val="0"/>
      <w:marTop w:val="0"/>
      <w:marBottom w:val="0"/>
      <w:divBdr>
        <w:top w:val="none" w:sz="0" w:space="0" w:color="auto"/>
        <w:left w:val="none" w:sz="0" w:space="0" w:color="auto"/>
        <w:bottom w:val="none" w:sz="0" w:space="0" w:color="auto"/>
        <w:right w:val="none" w:sz="0" w:space="0" w:color="auto"/>
      </w:divBdr>
    </w:div>
    <w:div w:id="34232750">
      <w:bodyDiv w:val="1"/>
      <w:marLeft w:val="0"/>
      <w:marRight w:val="0"/>
      <w:marTop w:val="0"/>
      <w:marBottom w:val="0"/>
      <w:divBdr>
        <w:top w:val="none" w:sz="0" w:space="0" w:color="auto"/>
        <w:left w:val="none" w:sz="0" w:space="0" w:color="auto"/>
        <w:bottom w:val="none" w:sz="0" w:space="0" w:color="auto"/>
        <w:right w:val="none" w:sz="0" w:space="0" w:color="auto"/>
      </w:divBdr>
    </w:div>
    <w:div w:id="46807904">
      <w:bodyDiv w:val="1"/>
      <w:marLeft w:val="0"/>
      <w:marRight w:val="0"/>
      <w:marTop w:val="0"/>
      <w:marBottom w:val="0"/>
      <w:divBdr>
        <w:top w:val="none" w:sz="0" w:space="0" w:color="auto"/>
        <w:left w:val="none" w:sz="0" w:space="0" w:color="auto"/>
        <w:bottom w:val="none" w:sz="0" w:space="0" w:color="auto"/>
        <w:right w:val="none" w:sz="0" w:space="0" w:color="auto"/>
      </w:divBdr>
    </w:div>
    <w:div w:id="102068754">
      <w:bodyDiv w:val="1"/>
      <w:marLeft w:val="0"/>
      <w:marRight w:val="0"/>
      <w:marTop w:val="0"/>
      <w:marBottom w:val="0"/>
      <w:divBdr>
        <w:top w:val="none" w:sz="0" w:space="0" w:color="auto"/>
        <w:left w:val="none" w:sz="0" w:space="0" w:color="auto"/>
        <w:bottom w:val="none" w:sz="0" w:space="0" w:color="auto"/>
        <w:right w:val="none" w:sz="0" w:space="0" w:color="auto"/>
      </w:divBdr>
    </w:div>
    <w:div w:id="224731212">
      <w:bodyDiv w:val="1"/>
      <w:marLeft w:val="0"/>
      <w:marRight w:val="0"/>
      <w:marTop w:val="0"/>
      <w:marBottom w:val="0"/>
      <w:divBdr>
        <w:top w:val="none" w:sz="0" w:space="0" w:color="auto"/>
        <w:left w:val="none" w:sz="0" w:space="0" w:color="auto"/>
        <w:bottom w:val="none" w:sz="0" w:space="0" w:color="auto"/>
        <w:right w:val="none" w:sz="0" w:space="0" w:color="auto"/>
      </w:divBdr>
      <w:divsChild>
        <w:div w:id="791099228">
          <w:marLeft w:val="562"/>
          <w:marRight w:val="0"/>
          <w:marTop w:val="0"/>
          <w:marBottom w:val="0"/>
          <w:divBdr>
            <w:top w:val="none" w:sz="0" w:space="0" w:color="auto"/>
            <w:left w:val="none" w:sz="0" w:space="0" w:color="auto"/>
            <w:bottom w:val="none" w:sz="0" w:space="0" w:color="auto"/>
            <w:right w:val="none" w:sz="0" w:space="0" w:color="auto"/>
          </w:divBdr>
        </w:div>
        <w:div w:id="1126898492">
          <w:marLeft w:val="562"/>
          <w:marRight w:val="0"/>
          <w:marTop w:val="0"/>
          <w:marBottom w:val="0"/>
          <w:divBdr>
            <w:top w:val="none" w:sz="0" w:space="0" w:color="auto"/>
            <w:left w:val="none" w:sz="0" w:space="0" w:color="auto"/>
            <w:bottom w:val="none" w:sz="0" w:space="0" w:color="auto"/>
            <w:right w:val="none" w:sz="0" w:space="0" w:color="auto"/>
          </w:divBdr>
        </w:div>
        <w:div w:id="1718116599">
          <w:marLeft w:val="562"/>
          <w:marRight w:val="0"/>
          <w:marTop w:val="0"/>
          <w:marBottom w:val="0"/>
          <w:divBdr>
            <w:top w:val="none" w:sz="0" w:space="0" w:color="auto"/>
            <w:left w:val="none" w:sz="0" w:space="0" w:color="auto"/>
            <w:bottom w:val="none" w:sz="0" w:space="0" w:color="auto"/>
            <w:right w:val="none" w:sz="0" w:space="0" w:color="auto"/>
          </w:divBdr>
        </w:div>
      </w:divsChild>
    </w:div>
    <w:div w:id="302665719">
      <w:bodyDiv w:val="1"/>
      <w:marLeft w:val="0"/>
      <w:marRight w:val="0"/>
      <w:marTop w:val="0"/>
      <w:marBottom w:val="0"/>
      <w:divBdr>
        <w:top w:val="none" w:sz="0" w:space="0" w:color="auto"/>
        <w:left w:val="none" w:sz="0" w:space="0" w:color="auto"/>
        <w:bottom w:val="none" w:sz="0" w:space="0" w:color="auto"/>
        <w:right w:val="none" w:sz="0" w:space="0" w:color="auto"/>
      </w:divBdr>
    </w:div>
    <w:div w:id="317077505">
      <w:bodyDiv w:val="1"/>
      <w:marLeft w:val="0"/>
      <w:marRight w:val="0"/>
      <w:marTop w:val="0"/>
      <w:marBottom w:val="0"/>
      <w:divBdr>
        <w:top w:val="none" w:sz="0" w:space="0" w:color="auto"/>
        <w:left w:val="none" w:sz="0" w:space="0" w:color="auto"/>
        <w:bottom w:val="none" w:sz="0" w:space="0" w:color="auto"/>
        <w:right w:val="none" w:sz="0" w:space="0" w:color="auto"/>
      </w:divBdr>
    </w:div>
    <w:div w:id="380253897">
      <w:bodyDiv w:val="1"/>
      <w:marLeft w:val="0"/>
      <w:marRight w:val="0"/>
      <w:marTop w:val="0"/>
      <w:marBottom w:val="0"/>
      <w:divBdr>
        <w:top w:val="none" w:sz="0" w:space="0" w:color="auto"/>
        <w:left w:val="none" w:sz="0" w:space="0" w:color="auto"/>
        <w:bottom w:val="none" w:sz="0" w:space="0" w:color="auto"/>
        <w:right w:val="none" w:sz="0" w:space="0" w:color="auto"/>
      </w:divBdr>
    </w:div>
    <w:div w:id="381290258">
      <w:bodyDiv w:val="1"/>
      <w:marLeft w:val="0"/>
      <w:marRight w:val="0"/>
      <w:marTop w:val="0"/>
      <w:marBottom w:val="0"/>
      <w:divBdr>
        <w:top w:val="none" w:sz="0" w:space="0" w:color="auto"/>
        <w:left w:val="none" w:sz="0" w:space="0" w:color="auto"/>
        <w:bottom w:val="none" w:sz="0" w:space="0" w:color="auto"/>
        <w:right w:val="none" w:sz="0" w:space="0" w:color="auto"/>
      </w:divBdr>
    </w:div>
    <w:div w:id="440341959">
      <w:bodyDiv w:val="1"/>
      <w:marLeft w:val="0"/>
      <w:marRight w:val="0"/>
      <w:marTop w:val="0"/>
      <w:marBottom w:val="0"/>
      <w:divBdr>
        <w:top w:val="none" w:sz="0" w:space="0" w:color="auto"/>
        <w:left w:val="none" w:sz="0" w:space="0" w:color="auto"/>
        <w:bottom w:val="none" w:sz="0" w:space="0" w:color="auto"/>
        <w:right w:val="none" w:sz="0" w:space="0" w:color="auto"/>
      </w:divBdr>
    </w:div>
    <w:div w:id="448089634">
      <w:bodyDiv w:val="1"/>
      <w:marLeft w:val="0"/>
      <w:marRight w:val="0"/>
      <w:marTop w:val="0"/>
      <w:marBottom w:val="0"/>
      <w:divBdr>
        <w:top w:val="none" w:sz="0" w:space="0" w:color="auto"/>
        <w:left w:val="none" w:sz="0" w:space="0" w:color="auto"/>
        <w:bottom w:val="none" w:sz="0" w:space="0" w:color="auto"/>
        <w:right w:val="none" w:sz="0" w:space="0" w:color="auto"/>
      </w:divBdr>
    </w:div>
    <w:div w:id="458572359">
      <w:bodyDiv w:val="1"/>
      <w:marLeft w:val="0"/>
      <w:marRight w:val="0"/>
      <w:marTop w:val="0"/>
      <w:marBottom w:val="0"/>
      <w:divBdr>
        <w:top w:val="none" w:sz="0" w:space="0" w:color="auto"/>
        <w:left w:val="none" w:sz="0" w:space="0" w:color="auto"/>
        <w:bottom w:val="none" w:sz="0" w:space="0" w:color="auto"/>
        <w:right w:val="none" w:sz="0" w:space="0" w:color="auto"/>
      </w:divBdr>
    </w:div>
    <w:div w:id="474034149">
      <w:bodyDiv w:val="1"/>
      <w:marLeft w:val="0"/>
      <w:marRight w:val="0"/>
      <w:marTop w:val="0"/>
      <w:marBottom w:val="0"/>
      <w:divBdr>
        <w:top w:val="none" w:sz="0" w:space="0" w:color="auto"/>
        <w:left w:val="none" w:sz="0" w:space="0" w:color="auto"/>
        <w:bottom w:val="none" w:sz="0" w:space="0" w:color="auto"/>
        <w:right w:val="none" w:sz="0" w:space="0" w:color="auto"/>
      </w:divBdr>
    </w:div>
    <w:div w:id="481119587">
      <w:bodyDiv w:val="1"/>
      <w:marLeft w:val="0"/>
      <w:marRight w:val="0"/>
      <w:marTop w:val="0"/>
      <w:marBottom w:val="0"/>
      <w:divBdr>
        <w:top w:val="none" w:sz="0" w:space="0" w:color="auto"/>
        <w:left w:val="none" w:sz="0" w:space="0" w:color="auto"/>
        <w:bottom w:val="none" w:sz="0" w:space="0" w:color="auto"/>
        <w:right w:val="none" w:sz="0" w:space="0" w:color="auto"/>
      </w:divBdr>
    </w:div>
    <w:div w:id="537472027">
      <w:bodyDiv w:val="1"/>
      <w:marLeft w:val="0"/>
      <w:marRight w:val="0"/>
      <w:marTop w:val="0"/>
      <w:marBottom w:val="0"/>
      <w:divBdr>
        <w:top w:val="none" w:sz="0" w:space="0" w:color="auto"/>
        <w:left w:val="none" w:sz="0" w:space="0" w:color="auto"/>
        <w:bottom w:val="none" w:sz="0" w:space="0" w:color="auto"/>
        <w:right w:val="none" w:sz="0" w:space="0" w:color="auto"/>
      </w:divBdr>
      <w:divsChild>
        <w:div w:id="1166701297">
          <w:marLeft w:val="0"/>
          <w:marRight w:val="0"/>
          <w:marTop w:val="0"/>
          <w:marBottom w:val="0"/>
          <w:divBdr>
            <w:top w:val="none" w:sz="0" w:space="0" w:color="auto"/>
            <w:left w:val="none" w:sz="0" w:space="0" w:color="auto"/>
            <w:bottom w:val="none" w:sz="0" w:space="0" w:color="auto"/>
            <w:right w:val="none" w:sz="0" w:space="0" w:color="auto"/>
          </w:divBdr>
          <w:divsChild>
            <w:div w:id="319886466">
              <w:marLeft w:val="0"/>
              <w:marRight w:val="0"/>
              <w:marTop w:val="0"/>
              <w:marBottom w:val="0"/>
              <w:divBdr>
                <w:top w:val="single" w:sz="24" w:space="0" w:color="FB4C1C"/>
                <w:left w:val="none" w:sz="0" w:space="0" w:color="auto"/>
                <w:bottom w:val="none" w:sz="0" w:space="0" w:color="auto"/>
                <w:right w:val="none" w:sz="0" w:space="0" w:color="auto"/>
              </w:divBdr>
              <w:divsChild>
                <w:div w:id="1064136762">
                  <w:marLeft w:val="0"/>
                  <w:marRight w:val="0"/>
                  <w:marTop w:val="100"/>
                  <w:marBottom w:val="100"/>
                  <w:divBdr>
                    <w:top w:val="none" w:sz="0" w:space="0" w:color="auto"/>
                    <w:left w:val="none" w:sz="0" w:space="0" w:color="auto"/>
                    <w:bottom w:val="none" w:sz="0" w:space="0" w:color="auto"/>
                    <w:right w:val="none" w:sz="0" w:space="0" w:color="auto"/>
                  </w:divBdr>
                  <w:divsChild>
                    <w:div w:id="1058013946">
                      <w:marLeft w:val="0"/>
                      <w:marRight w:val="0"/>
                      <w:marTop w:val="0"/>
                      <w:marBottom w:val="0"/>
                      <w:divBdr>
                        <w:top w:val="none" w:sz="0" w:space="0" w:color="auto"/>
                        <w:left w:val="none" w:sz="0" w:space="0" w:color="auto"/>
                        <w:bottom w:val="none" w:sz="0" w:space="0" w:color="auto"/>
                        <w:right w:val="none" w:sz="0" w:space="0" w:color="auto"/>
                      </w:divBdr>
                      <w:divsChild>
                        <w:div w:id="734008506">
                          <w:marLeft w:val="0"/>
                          <w:marRight w:val="0"/>
                          <w:marTop w:val="0"/>
                          <w:marBottom w:val="0"/>
                          <w:divBdr>
                            <w:top w:val="none" w:sz="0" w:space="0" w:color="auto"/>
                            <w:left w:val="none" w:sz="0" w:space="0" w:color="auto"/>
                            <w:bottom w:val="none" w:sz="0" w:space="0" w:color="auto"/>
                            <w:right w:val="none" w:sz="0" w:space="0" w:color="auto"/>
                          </w:divBdr>
                          <w:divsChild>
                            <w:div w:id="1487088080">
                              <w:marLeft w:val="0"/>
                              <w:marRight w:val="0"/>
                              <w:marTop w:val="0"/>
                              <w:marBottom w:val="0"/>
                              <w:divBdr>
                                <w:top w:val="none" w:sz="0" w:space="0" w:color="auto"/>
                                <w:left w:val="none" w:sz="0" w:space="0" w:color="auto"/>
                                <w:bottom w:val="none" w:sz="0" w:space="0" w:color="auto"/>
                                <w:right w:val="none" w:sz="0" w:space="0" w:color="auto"/>
                              </w:divBdr>
                              <w:divsChild>
                                <w:div w:id="1872643750">
                                  <w:marLeft w:val="0"/>
                                  <w:marRight w:val="0"/>
                                  <w:marTop w:val="0"/>
                                  <w:marBottom w:val="0"/>
                                  <w:divBdr>
                                    <w:top w:val="none" w:sz="0" w:space="0" w:color="auto"/>
                                    <w:left w:val="none" w:sz="0" w:space="0" w:color="auto"/>
                                    <w:bottom w:val="none" w:sz="0" w:space="0" w:color="auto"/>
                                    <w:right w:val="none" w:sz="0" w:space="0" w:color="auto"/>
                                  </w:divBdr>
                                  <w:divsChild>
                                    <w:div w:id="1102651247">
                                      <w:marLeft w:val="0"/>
                                      <w:marRight w:val="0"/>
                                      <w:marTop w:val="0"/>
                                      <w:marBottom w:val="0"/>
                                      <w:divBdr>
                                        <w:top w:val="none" w:sz="0" w:space="0" w:color="auto"/>
                                        <w:left w:val="none" w:sz="0" w:space="0" w:color="auto"/>
                                        <w:bottom w:val="none" w:sz="0" w:space="0" w:color="auto"/>
                                        <w:right w:val="none" w:sz="0" w:space="0" w:color="auto"/>
                                      </w:divBdr>
                                      <w:divsChild>
                                        <w:div w:id="1233126812">
                                          <w:marLeft w:val="0"/>
                                          <w:marRight w:val="0"/>
                                          <w:marTop w:val="0"/>
                                          <w:marBottom w:val="0"/>
                                          <w:divBdr>
                                            <w:top w:val="none" w:sz="0" w:space="0" w:color="auto"/>
                                            <w:left w:val="none" w:sz="0" w:space="0" w:color="auto"/>
                                            <w:bottom w:val="none" w:sz="0" w:space="0" w:color="auto"/>
                                            <w:right w:val="none" w:sz="0" w:space="0" w:color="auto"/>
                                          </w:divBdr>
                                          <w:divsChild>
                                            <w:div w:id="1857187229">
                                              <w:marLeft w:val="0"/>
                                              <w:marRight w:val="0"/>
                                              <w:marTop w:val="0"/>
                                              <w:marBottom w:val="0"/>
                                              <w:divBdr>
                                                <w:top w:val="none" w:sz="0" w:space="0" w:color="auto"/>
                                                <w:left w:val="none" w:sz="0" w:space="0" w:color="auto"/>
                                                <w:bottom w:val="none" w:sz="0" w:space="0" w:color="auto"/>
                                                <w:right w:val="none" w:sz="0" w:space="0" w:color="auto"/>
                                              </w:divBdr>
                                              <w:divsChild>
                                                <w:div w:id="188390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5235653">
      <w:bodyDiv w:val="1"/>
      <w:marLeft w:val="0"/>
      <w:marRight w:val="0"/>
      <w:marTop w:val="0"/>
      <w:marBottom w:val="0"/>
      <w:divBdr>
        <w:top w:val="none" w:sz="0" w:space="0" w:color="auto"/>
        <w:left w:val="none" w:sz="0" w:space="0" w:color="auto"/>
        <w:bottom w:val="none" w:sz="0" w:space="0" w:color="auto"/>
        <w:right w:val="none" w:sz="0" w:space="0" w:color="auto"/>
      </w:divBdr>
    </w:div>
    <w:div w:id="662779522">
      <w:bodyDiv w:val="1"/>
      <w:marLeft w:val="0"/>
      <w:marRight w:val="0"/>
      <w:marTop w:val="0"/>
      <w:marBottom w:val="0"/>
      <w:divBdr>
        <w:top w:val="none" w:sz="0" w:space="0" w:color="auto"/>
        <w:left w:val="none" w:sz="0" w:space="0" w:color="auto"/>
        <w:bottom w:val="none" w:sz="0" w:space="0" w:color="auto"/>
        <w:right w:val="none" w:sz="0" w:space="0" w:color="auto"/>
      </w:divBdr>
    </w:div>
    <w:div w:id="678116731">
      <w:bodyDiv w:val="1"/>
      <w:marLeft w:val="0"/>
      <w:marRight w:val="0"/>
      <w:marTop w:val="0"/>
      <w:marBottom w:val="0"/>
      <w:divBdr>
        <w:top w:val="none" w:sz="0" w:space="0" w:color="auto"/>
        <w:left w:val="none" w:sz="0" w:space="0" w:color="auto"/>
        <w:bottom w:val="none" w:sz="0" w:space="0" w:color="auto"/>
        <w:right w:val="none" w:sz="0" w:space="0" w:color="auto"/>
      </w:divBdr>
    </w:div>
    <w:div w:id="694162026">
      <w:bodyDiv w:val="1"/>
      <w:marLeft w:val="0"/>
      <w:marRight w:val="0"/>
      <w:marTop w:val="0"/>
      <w:marBottom w:val="0"/>
      <w:divBdr>
        <w:top w:val="none" w:sz="0" w:space="0" w:color="auto"/>
        <w:left w:val="none" w:sz="0" w:space="0" w:color="auto"/>
        <w:bottom w:val="none" w:sz="0" w:space="0" w:color="auto"/>
        <w:right w:val="none" w:sz="0" w:space="0" w:color="auto"/>
      </w:divBdr>
    </w:div>
    <w:div w:id="711076320">
      <w:bodyDiv w:val="1"/>
      <w:marLeft w:val="0"/>
      <w:marRight w:val="0"/>
      <w:marTop w:val="0"/>
      <w:marBottom w:val="0"/>
      <w:divBdr>
        <w:top w:val="none" w:sz="0" w:space="0" w:color="auto"/>
        <w:left w:val="none" w:sz="0" w:space="0" w:color="auto"/>
        <w:bottom w:val="none" w:sz="0" w:space="0" w:color="auto"/>
        <w:right w:val="none" w:sz="0" w:space="0" w:color="auto"/>
      </w:divBdr>
    </w:div>
    <w:div w:id="807432774">
      <w:bodyDiv w:val="1"/>
      <w:marLeft w:val="0"/>
      <w:marRight w:val="0"/>
      <w:marTop w:val="0"/>
      <w:marBottom w:val="0"/>
      <w:divBdr>
        <w:top w:val="none" w:sz="0" w:space="0" w:color="auto"/>
        <w:left w:val="none" w:sz="0" w:space="0" w:color="auto"/>
        <w:bottom w:val="none" w:sz="0" w:space="0" w:color="auto"/>
        <w:right w:val="none" w:sz="0" w:space="0" w:color="auto"/>
      </w:divBdr>
    </w:div>
    <w:div w:id="870071512">
      <w:bodyDiv w:val="1"/>
      <w:marLeft w:val="0"/>
      <w:marRight w:val="0"/>
      <w:marTop w:val="0"/>
      <w:marBottom w:val="0"/>
      <w:divBdr>
        <w:top w:val="none" w:sz="0" w:space="0" w:color="auto"/>
        <w:left w:val="none" w:sz="0" w:space="0" w:color="auto"/>
        <w:bottom w:val="none" w:sz="0" w:space="0" w:color="auto"/>
        <w:right w:val="none" w:sz="0" w:space="0" w:color="auto"/>
      </w:divBdr>
    </w:div>
    <w:div w:id="911886592">
      <w:bodyDiv w:val="1"/>
      <w:marLeft w:val="0"/>
      <w:marRight w:val="0"/>
      <w:marTop w:val="0"/>
      <w:marBottom w:val="0"/>
      <w:divBdr>
        <w:top w:val="none" w:sz="0" w:space="0" w:color="auto"/>
        <w:left w:val="none" w:sz="0" w:space="0" w:color="auto"/>
        <w:bottom w:val="none" w:sz="0" w:space="0" w:color="auto"/>
        <w:right w:val="none" w:sz="0" w:space="0" w:color="auto"/>
      </w:divBdr>
    </w:div>
    <w:div w:id="912349316">
      <w:bodyDiv w:val="1"/>
      <w:marLeft w:val="0"/>
      <w:marRight w:val="0"/>
      <w:marTop w:val="0"/>
      <w:marBottom w:val="0"/>
      <w:divBdr>
        <w:top w:val="none" w:sz="0" w:space="0" w:color="auto"/>
        <w:left w:val="none" w:sz="0" w:space="0" w:color="auto"/>
        <w:bottom w:val="none" w:sz="0" w:space="0" w:color="auto"/>
        <w:right w:val="none" w:sz="0" w:space="0" w:color="auto"/>
      </w:divBdr>
    </w:div>
    <w:div w:id="915478870">
      <w:bodyDiv w:val="1"/>
      <w:marLeft w:val="0"/>
      <w:marRight w:val="0"/>
      <w:marTop w:val="0"/>
      <w:marBottom w:val="0"/>
      <w:divBdr>
        <w:top w:val="none" w:sz="0" w:space="0" w:color="auto"/>
        <w:left w:val="none" w:sz="0" w:space="0" w:color="auto"/>
        <w:bottom w:val="none" w:sz="0" w:space="0" w:color="auto"/>
        <w:right w:val="none" w:sz="0" w:space="0" w:color="auto"/>
      </w:divBdr>
    </w:div>
    <w:div w:id="977681813">
      <w:bodyDiv w:val="1"/>
      <w:marLeft w:val="0"/>
      <w:marRight w:val="0"/>
      <w:marTop w:val="0"/>
      <w:marBottom w:val="0"/>
      <w:divBdr>
        <w:top w:val="none" w:sz="0" w:space="0" w:color="auto"/>
        <w:left w:val="none" w:sz="0" w:space="0" w:color="auto"/>
        <w:bottom w:val="none" w:sz="0" w:space="0" w:color="auto"/>
        <w:right w:val="none" w:sz="0" w:space="0" w:color="auto"/>
      </w:divBdr>
    </w:div>
    <w:div w:id="980234828">
      <w:bodyDiv w:val="1"/>
      <w:marLeft w:val="0"/>
      <w:marRight w:val="0"/>
      <w:marTop w:val="0"/>
      <w:marBottom w:val="0"/>
      <w:divBdr>
        <w:top w:val="none" w:sz="0" w:space="0" w:color="auto"/>
        <w:left w:val="none" w:sz="0" w:space="0" w:color="auto"/>
        <w:bottom w:val="none" w:sz="0" w:space="0" w:color="auto"/>
        <w:right w:val="none" w:sz="0" w:space="0" w:color="auto"/>
      </w:divBdr>
    </w:div>
    <w:div w:id="993724772">
      <w:bodyDiv w:val="1"/>
      <w:marLeft w:val="0"/>
      <w:marRight w:val="0"/>
      <w:marTop w:val="0"/>
      <w:marBottom w:val="0"/>
      <w:divBdr>
        <w:top w:val="none" w:sz="0" w:space="0" w:color="auto"/>
        <w:left w:val="none" w:sz="0" w:space="0" w:color="auto"/>
        <w:bottom w:val="none" w:sz="0" w:space="0" w:color="auto"/>
        <w:right w:val="none" w:sz="0" w:space="0" w:color="auto"/>
      </w:divBdr>
    </w:div>
    <w:div w:id="993799184">
      <w:bodyDiv w:val="1"/>
      <w:marLeft w:val="0"/>
      <w:marRight w:val="0"/>
      <w:marTop w:val="0"/>
      <w:marBottom w:val="0"/>
      <w:divBdr>
        <w:top w:val="none" w:sz="0" w:space="0" w:color="auto"/>
        <w:left w:val="none" w:sz="0" w:space="0" w:color="auto"/>
        <w:bottom w:val="none" w:sz="0" w:space="0" w:color="auto"/>
        <w:right w:val="none" w:sz="0" w:space="0" w:color="auto"/>
      </w:divBdr>
    </w:div>
    <w:div w:id="1016347003">
      <w:bodyDiv w:val="1"/>
      <w:marLeft w:val="0"/>
      <w:marRight w:val="0"/>
      <w:marTop w:val="0"/>
      <w:marBottom w:val="0"/>
      <w:divBdr>
        <w:top w:val="none" w:sz="0" w:space="0" w:color="auto"/>
        <w:left w:val="none" w:sz="0" w:space="0" w:color="auto"/>
        <w:bottom w:val="none" w:sz="0" w:space="0" w:color="auto"/>
        <w:right w:val="none" w:sz="0" w:space="0" w:color="auto"/>
      </w:divBdr>
    </w:div>
    <w:div w:id="1033732043">
      <w:bodyDiv w:val="1"/>
      <w:marLeft w:val="0"/>
      <w:marRight w:val="0"/>
      <w:marTop w:val="0"/>
      <w:marBottom w:val="0"/>
      <w:divBdr>
        <w:top w:val="none" w:sz="0" w:space="0" w:color="auto"/>
        <w:left w:val="none" w:sz="0" w:space="0" w:color="auto"/>
        <w:bottom w:val="none" w:sz="0" w:space="0" w:color="auto"/>
        <w:right w:val="none" w:sz="0" w:space="0" w:color="auto"/>
      </w:divBdr>
    </w:div>
    <w:div w:id="1037467082">
      <w:bodyDiv w:val="1"/>
      <w:marLeft w:val="0"/>
      <w:marRight w:val="0"/>
      <w:marTop w:val="0"/>
      <w:marBottom w:val="0"/>
      <w:divBdr>
        <w:top w:val="none" w:sz="0" w:space="0" w:color="auto"/>
        <w:left w:val="none" w:sz="0" w:space="0" w:color="auto"/>
        <w:bottom w:val="none" w:sz="0" w:space="0" w:color="auto"/>
        <w:right w:val="none" w:sz="0" w:space="0" w:color="auto"/>
      </w:divBdr>
    </w:div>
    <w:div w:id="1072898059">
      <w:bodyDiv w:val="1"/>
      <w:marLeft w:val="0"/>
      <w:marRight w:val="0"/>
      <w:marTop w:val="0"/>
      <w:marBottom w:val="0"/>
      <w:divBdr>
        <w:top w:val="none" w:sz="0" w:space="0" w:color="auto"/>
        <w:left w:val="none" w:sz="0" w:space="0" w:color="auto"/>
        <w:bottom w:val="none" w:sz="0" w:space="0" w:color="auto"/>
        <w:right w:val="none" w:sz="0" w:space="0" w:color="auto"/>
      </w:divBdr>
    </w:div>
    <w:div w:id="1092168563">
      <w:bodyDiv w:val="1"/>
      <w:marLeft w:val="0"/>
      <w:marRight w:val="0"/>
      <w:marTop w:val="0"/>
      <w:marBottom w:val="0"/>
      <w:divBdr>
        <w:top w:val="none" w:sz="0" w:space="0" w:color="auto"/>
        <w:left w:val="none" w:sz="0" w:space="0" w:color="auto"/>
        <w:bottom w:val="none" w:sz="0" w:space="0" w:color="auto"/>
        <w:right w:val="none" w:sz="0" w:space="0" w:color="auto"/>
      </w:divBdr>
    </w:div>
    <w:div w:id="1109423471">
      <w:bodyDiv w:val="1"/>
      <w:marLeft w:val="0"/>
      <w:marRight w:val="0"/>
      <w:marTop w:val="0"/>
      <w:marBottom w:val="0"/>
      <w:divBdr>
        <w:top w:val="none" w:sz="0" w:space="0" w:color="auto"/>
        <w:left w:val="none" w:sz="0" w:space="0" w:color="auto"/>
        <w:bottom w:val="none" w:sz="0" w:space="0" w:color="auto"/>
        <w:right w:val="none" w:sz="0" w:space="0" w:color="auto"/>
      </w:divBdr>
    </w:div>
    <w:div w:id="1126579288">
      <w:bodyDiv w:val="1"/>
      <w:marLeft w:val="0"/>
      <w:marRight w:val="0"/>
      <w:marTop w:val="0"/>
      <w:marBottom w:val="0"/>
      <w:divBdr>
        <w:top w:val="none" w:sz="0" w:space="0" w:color="auto"/>
        <w:left w:val="none" w:sz="0" w:space="0" w:color="auto"/>
        <w:bottom w:val="none" w:sz="0" w:space="0" w:color="auto"/>
        <w:right w:val="none" w:sz="0" w:space="0" w:color="auto"/>
      </w:divBdr>
    </w:div>
    <w:div w:id="1141583653">
      <w:bodyDiv w:val="1"/>
      <w:marLeft w:val="0"/>
      <w:marRight w:val="0"/>
      <w:marTop w:val="0"/>
      <w:marBottom w:val="0"/>
      <w:divBdr>
        <w:top w:val="none" w:sz="0" w:space="0" w:color="auto"/>
        <w:left w:val="none" w:sz="0" w:space="0" w:color="auto"/>
        <w:bottom w:val="none" w:sz="0" w:space="0" w:color="auto"/>
        <w:right w:val="none" w:sz="0" w:space="0" w:color="auto"/>
      </w:divBdr>
    </w:div>
    <w:div w:id="1183981921">
      <w:bodyDiv w:val="1"/>
      <w:marLeft w:val="0"/>
      <w:marRight w:val="0"/>
      <w:marTop w:val="0"/>
      <w:marBottom w:val="0"/>
      <w:divBdr>
        <w:top w:val="none" w:sz="0" w:space="0" w:color="auto"/>
        <w:left w:val="none" w:sz="0" w:space="0" w:color="auto"/>
        <w:bottom w:val="none" w:sz="0" w:space="0" w:color="auto"/>
        <w:right w:val="none" w:sz="0" w:space="0" w:color="auto"/>
      </w:divBdr>
    </w:div>
    <w:div w:id="1215048107">
      <w:bodyDiv w:val="1"/>
      <w:marLeft w:val="0"/>
      <w:marRight w:val="0"/>
      <w:marTop w:val="0"/>
      <w:marBottom w:val="0"/>
      <w:divBdr>
        <w:top w:val="none" w:sz="0" w:space="0" w:color="auto"/>
        <w:left w:val="none" w:sz="0" w:space="0" w:color="auto"/>
        <w:bottom w:val="none" w:sz="0" w:space="0" w:color="auto"/>
        <w:right w:val="none" w:sz="0" w:space="0" w:color="auto"/>
      </w:divBdr>
    </w:div>
    <w:div w:id="1237477259">
      <w:bodyDiv w:val="1"/>
      <w:marLeft w:val="0"/>
      <w:marRight w:val="0"/>
      <w:marTop w:val="0"/>
      <w:marBottom w:val="0"/>
      <w:divBdr>
        <w:top w:val="none" w:sz="0" w:space="0" w:color="auto"/>
        <w:left w:val="none" w:sz="0" w:space="0" w:color="auto"/>
        <w:bottom w:val="none" w:sz="0" w:space="0" w:color="auto"/>
        <w:right w:val="none" w:sz="0" w:space="0" w:color="auto"/>
      </w:divBdr>
    </w:div>
    <w:div w:id="1257471863">
      <w:bodyDiv w:val="1"/>
      <w:marLeft w:val="0"/>
      <w:marRight w:val="0"/>
      <w:marTop w:val="0"/>
      <w:marBottom w:val="0"/>
      <w:divBdr>
        <w:top w:val="none" w:sz="0" w:space="0" w:color="auto"/>
        <w:left w:val="none" w:sz="0" w:space="0" w:color="auto"/>
        <w:bottom w:val="none" w:sz="0" w:space="0" w:color="auto"/>
        <w:right w:val="none" w:sz="0" w:space="0" w:color="auto"/>
      </w:divBdr>
    </w:div>
    <w:div w:id="1312753596">
      <w:bodyDiv w:val="1"/>
      <w:marLeft w:val="0"/>
      <w:marRight w:val="0"/>
      <w:marTop w:val="0"/>
      <w:marBottom w:val="0"/>
      <w:divBdr>
        <w:top w:val="none" w:sz="0" w:space="0" w:color="auto"/>
        <w:left w:val="none" w:sz="0" w:space="0" w:color="auto"/>
        <w:bottom w:val="none" w:sz="0" w:space="0" w:color="auto"/>
        <w:right w:val="none" w:sz="0" w:space="0" w:color="auto"/>
      </w:divBdr>
    </w:div>
    <w:div w:id="1317224199">
      <w:bodyDiv w:val="1"/>
      <w:marLeft w:val="0"/>
      <w:marRight w:val="0"/>
      <w:marTop w:val="0"/>
      <w:marBottom w:val="0"/>
      <w:divBdr>
        <w:top w:val="none" w:sz="0" w:space="0" w:color="auto"/>
        <w:left w:val="none" w:sz="0" w:space="0" w:color="auto"/>
        <w:bottom w:val="none" w:sz="0" w:space="0" w:color="auto"/>
        <w:right w:val="none" w:sz="0" w:space="0" w:color="auto"/>
      </w:divBdr>
    </w:div>
    <w:div w:id="1377464446">
      <w:bodyDiv w:val="1"/>
      <w:marLeft w:val="0"/>
      <w:marRight w:val="0"/>
      <w:marTop w:val="0"/>
      <w:marBottom w:val="0"/>
      <w:divBdr>
        <w:top w:val="none" w:sz="0" w:space="0" w:color="auto"/>
        <w:left w:val="none" w:sz="0" w:space="0" w:color="auto"/>
        <w:bottom w:val="none" w:sz="0" w:space="0" w:color="auto"/>
        <w:right w:val="none" w:sz="0" w:space="0" w:color="auto"/>
      </w:divBdr>
      <w:divsChild>
        <w:div w:id="427625279">
          <w:marLeft w:val="1411"/>
          <w:marRight w:val="0"/>
          <w:marTop w:val="0"/>
          <w:marBottom w:val="0"/>
          <w:divBdr>
            <w:top w:val="none" w:sz="0" w:space="0" w:color="auto"/>
            <w:left w:val="none" w:sz="0" w:space="0" w:color="auto"/>
            <w:bottom w:val="none" w:sz="0" w:space="0" w:color="auto"/>
            <w:right w:val="none" w:sz="0" w:space="0" w:color="auto"/>
          </w:divBdr>
        </w:div>
        <w:div w:id="568031031">
          <w:marLeft w:val="1411"/>
          <w:marRight w:val="0"/>
          <w:marTop w:val="0"/>
          <w:marBottom w:val="0"/>
          <w:divBdr>
            <w:top w:val="none" w:sz="0" w:space="0" w:color="auto"/>
            <w:left w:val="none" w:sz="0" w:space="0" w:color="auto"/>
            <w:bottom w:val="none" w:sz="0" w:space="0" w:color="auto"/>
            <w:right w:val="none" w:sz="0" w:space="0" w:color="auto"/>
          </w:divBdr>
        </w:div>
        <w:div w:id="1324119449">
          <w:marLeft w:val="1411"/>
          <w:marRight w:val="0"/>
          <w:marTop w:val="0"/>
          <w:marBottom w:val="0"/>
          <w:divBdr>
            <w:top w:val="none" w:sz="0" w:space="0" w:color="auto"/>
            <w:left w:val="none" w:sz="0" w:space="0" w:color="auto"/>
            <w:bottom w:val="none" w:sz="0" w:space="0" w:color="auto"/>
            <w:right w:val="none" w:sz="0" w:space="0" w:color="auto"/>
          </w:divBdr>
        </w:div>
        <w:div w:id="1373193343">
          <w:marLeft w:val="562"/>
          <w:marRight w:val="0"/>
          <w:marTop w:val="0"/>
          <w:marBottom w:val="0"/>
          <w:divBdr>
            <w:top w:val="none" w:sz="0" w:space="0" w:color="auto"/>
            <w:left w:val="none" w:sz="0" w:space="0" w:color="auto"/>
            <w:bottom w:val="none" w:sz="0" w:space="0" w:color="auto"/>
            <w:right w:val="none" w:sz="0" w:space="0" w:color="auto"/>
          </w:divBdr>
        </w:div>
        <w:div w:id="1684472485">
          <w:marLeft w:val="1411"/>
          <w:marRight w:val="0"/>
          <w:marTop w:val="0"/>
          <w:marBottom w:val="0"/>
          <w:divBdr>
            <w:top w:val="none" w:sz="0" w:space="0" w:color="auto"/>
            <w:left w:val="none" w:sz="0" w:space="0" w:color="auto"/>
            <w:bottom w:val="none" w:sz="0" w:space="0" w:color="auto"/>
            <w:right w:val="none" w:sz="0" w:space="0" w:color="auto"/>
          </w:divBdr>
        </w:div>
        <w:div w:id="1732801658">
          <w:marLeft w:val="1411"/>
          <w:marRight w:val="0"/>
          <w:marTop w:val="0"/>
          <w:marBottom w:val="0"/>
          <w:divBdr>
            <w:top w:val="none" w:sz="0" w:space="0" w:color="auto"/>
            <w:left w:val="none" w:sz="0" w:space="0" w:color="auto"/>
            <w:bottom w:val="none" w:sz="0" w:space="0" w:color="auto"/>
            <w:right w:val="none" w:sz="0" w:space="0" w:color="auto"/>
          </w:divBdr>
        </w:div>
        <w:div w:id="1783454252">
          <w:marLeft w:val="1411"/>
          <w:marRight w:val="0"/>
          <w:marTop w:val="0"/>
          <w:marBottom w:val="0"/>
          <w:divBdr>
            <w:top w:val="none" w:sz="0" w:space="0" w:color="auto"/>
            <w:left w:val="none" w:sz="0" w:space="0" w:color="auto"/>
            <w:bottom w:val="none" w:sz="0" w:space="0" w:color="auto"/>
            <w:right w:val="none" w:sz="0" w:space="0" w:color="auto"/>
          </w:divBdr>
        </w:div>
        <w:div w:id="2022313867">
          <w:marLeft w:val="562"/>
          <w:marRight w:val="0"/>
          <w:marTop w:val="0"/>
          <w:marBottom w:val="0"/>
          <w:divBdr>
            <w:top w:val="none" w:sz="0" w:space="0" w:color="auto"/>
            <w:left w:val="none" w:sz="0" w:space="0" w:color="auto"/>
            <w:bottom w:val="none" w:sz="0" w:space="0" w:color="auto"/>
            <w:right w:val="none" w:sz="0" w:space="0" w:color="auto"/>
          </w:divBdr>
        </w:div>
      </w:divsChild>
    </w:div>
    <w:div w:id="1392388646">
      <w:bodyDiv w:val="1"/>
      <w:marLeft w:val="0"/>
      <w:marRight w:val="0"/>
      <w:marTop w:val="0"/>
      <w:marBottom w:val="0"/>
      <w:divBdr>
        <w:top w:val="none" w:sz="0" w:space="0" w:color="auto"/>
        <w:left w:val="none" w:sz="0" w:space="0" w:color="auto"/>
        <w:bottom w:val="none" w:sz="0" w:space="0" w:color="auto"/>
        <w:right w:val="none" w:sz="0" w:space="0" w:color="auto"/>
      </w:divBdr>
    </w:div>
    <w:div w:id="1394700840">
      <w:bodyDiv w:val="1"/>
      <w:marLeft w:val="0"/>
      <w:marRight w:val="0"/>
      <w:marTop w:val="0"/>
      <w:marBottom w:val="0"/>
      <w:divBdr>
        <w:top w:val="none" w:sz="0" w:space="0" w:color="auto"/>
        <w:left w:val="none" w:sz="0" w:space="0" w:color="auto"/>
        <w:bottom w:val="none" w:sz="0" w:space="0" w:color="auto"/>
        <w:right w:val="none" w:sz="0" w:space="0" w:color="auto"/>
      </w:divBdr>
    </w:div>
    <w:div w:id="1498692600">
      <w:bodyDiv w:val="1"/>
      <w:marLeft w:val="0"/>
      <w:marRight w:val="0"/>
      <w:marTop w:val="0"/>
      <w:marBottom w:val="0"/>
      <w:divBdr>
        <w:top w:val="none" w:sz="0" w:space="0" w:color="auto"/>
        <w:left w:val="none" w:sz="0" w:space="0" w:color="auto"/>
        <w:bottom w:val="none" w:sz="0" w:space="0" w:color="auto"/>
        <w:right w:val="none" w:sz="0" w:space="0" w:color="auto"/>
      </w:divBdr>
    </w:div>
    <w:div w:id="1551457365">
      <w:bodyDiv w:val="1"/>
      <w:marLeft w:val="0"/>
      <w:marRight w:val="0"/>
      <w:marTop w:val="0"/>
      <w:marBottom w:val="0"/>
      <w:divBdr>
        <w:top w:val="none" w:sz="0" w:space="0" w:color="auto"/>
        <w:left w:val="none" w:sz="0" w:space="0" w:color="auto"/>
        <w:bottom w:val="none" w:sz="0" w:space="0" w:color="auto"/>
        <w:right w:val="none" w:sz="0" w:space="0" w:color="auto"/>
      </w:divBdr>
    </w:div>
    <w:div w:id="1562866229">
      <w:bodyDiv w:val="1"/>
      <w:marLeft w:val="0"/>
      <w:marRight w:val="0"/>
      <w:marTop w:val="0"/>
      <w:marBottom w:val="0"/>
      <w:divBdr>
        <w:top w:val="none" w:sz="0" w:space="0" w:color="auto"/>
        <w:left w:val="none" w:sz="0" w:space="0" w:color="auto"/>
        <w:bottom w:val="none" w:sz="0" w:space="0" w:color="auto"/>
        <w:right w:val="none" w:sz="0" w:space="0" w:color="auto"/>
      </w:divBdr>
      <w:divsChild>
        <w:div w:id="842008112">
          <w:marLeft w:val="432"/>
          <w:marRight w:val="0"/>
          <w:marTop w:val="0"/>
          <w:marBottom w:val="0"/>
          <w:divBdr>
            <w:top w:val="none" w:sz="0" w:space="0" w:color="auto"/>
            <w:left w:val="none" w:sz="0" w:space="0" w:color="auto"/>
            <w:bottom w:val="none" w:sz="0" w:space="0" w:color="auto"/>
            <w:right w:val="none" w:sz="0" w:space="0" w:color="auto"/>
          </w:divBdr>
        </w:div>
        <w:div w:id="960261310">
          <w:marLeft w:val="432"/>
          <w:marRight w:val="0"/>
          <w:marTop w:val="0"/>
          <w:marBottom w:val="0"/>
          <w:divBdr>
            <w:top w:val="none" w:sz="0" w:space="0" w:color="auto"/>
            <w:left w:val="none" w:sz="0" w:space="0" w:color="auto"/>
            <w:bottom w:val="none" w:sz="0" w:space="0" w:color="auto"/>
            <w:right w:val="none" w:sz="0" w:space="0" w:color="auto"/>
          </w:divBdr>
        </w:div>
        <w:div w:id="1004744843">
          <w:marLeft w:val="432"/>
          <w:marRight w:val="0"/>
          <w:marTop w:val="0"/>
          <w:marBottom w:val="0"/>
          <w:divBdr>
            <w:top w:val="none" w:sz="0" w:space="0" w:color="auto"/>
            <w:left w:val="none" w:sz="0" w:space="0" w:color="auto"/>
            <w:bottom w:val="none" w:sz="0" w:space="0" w:color="auto"/>
            <w:right w:val="none" w:sz="0" w:space="0" w:color="auto"/>
          </w:divBdr>
        </w:div>
        <w:div w:id="1449617494">
          <w:marLeft w:val="432"/>
          <w:marRight w:val="0"/>
          <w:marTop w:val="0"/>
          <w:marBottom w:val="0"/>
          <w:divBdr>
            <w:top w:val="none" w:sz="0" w:space="0" w:color="auto"/>
            <w:left w:val="none" w:sz="0" w:space="0" w:color="auto"/>
            <w:bottom w:val="none" w:sz="0" w:space="0" w:color="auto"/>
            <w:right w:val="none" w:sz="0" w:space="0" w:color="auto"/>
          </w:divBdr>
        </w:div>
        <w:div w:id="1642155400">
          <w:marLeft w:val="432"/>
          <w:marRight w:val="0"/>
          <w:marTop w:val="0"/>
          <w:marBottom w:val="0"/>
          <w:divBdr>
            <w:top w:val="none" w:sz="0" w:space="0" w:color="auto"/>
            <w:left w:val="none" w:sz="0" w:space="0" w:color="auto"/>
            <w:bottom w:val="none" w:sz="0" w:space="0" w:color="auto"/>
            <w:right w:val="none" w:sz="0" w:space="0" w:color="auto"/>
          </w:divBdr>
        </w:div>
      </w:divsChild>
    </w:div>
    <w:div w:id="1582059570">
      <w:bodyDiv w:val="1"/>
      <w:marLeft w:val="0"/>
      <w:marRight w:val="0"/>
      <w:marTop w:val="0"/>
      <w:marBottom w:val="0"/>
      <w:divBdr>
        <w:top w:val="none" w:sz="0" w:space="0" w:color="auto"/>
        <w:left w:val="none" w:sz="0" w:space="0" w:color="auto"/>
        <w:bottom w:val="none" w:sz="0" w:space="0" w:color="auto"/>
        <w:right w:val="none" w:sz="0" w:space="0" w:color="auto"/>
      </w:divBdr>
    </w:div>
    <w:div w:id="1585410920">
      <w:bodyDiv w:val="1"/>
      <w:marLeft w:val="0"/>
      <w:marRight w:val="0"/>
      <w:marTop w:val="0"/>
      <w:marBottom w:val="0"/>
      <w:divBdr>
        <w:top w:val="none" w:sz="0" w:space="0" w:color="auto"/>
        <w:left w:val="none" w:sz="0" w:space="0" w:color="auto"/>
        <w:bottom w:val="none" w:sz="0" w:space="0" w:color="auto"/>
        <w:right w:val="none" w:sz="0" w:space="0" w:color="auto"/>
      </w:divBdr>
    </w:div>
    <w:div w:id="1592086396">
      <w:bodyDiv w:val="1"/>
      <w:marLeft w:val="0"/>
      <w:marRight w:val="0"/>
      <w:marTop w:val="0"/>
      <w:marBottom w:val="0"/>
      <w:divBdr>
        <w:top w:val="none" w:sz="0" w:space="0" w:color="auto"/>
        <w:left w:val="none" w:sz="0" w:space="0" w:color="auto"/>
        <w:bottom w:val="none" w:sz="0" w:space="0" w:color="auto"/>
        <w:right w:val="none" w:sz="0" w:space="0" w:color="auto"/>
      </w:divBdr>
    </w:div>
    <w:div w:id="1625191141">
      <w:bodyDiv w:val="1"/>
      <w:marLeft w:val="0"/>
      <w:marRight w:val="0"/>
      <w:marTop w:val="0"/>
      <w:marBottom w:val="0"/>
      <w:divBdr>
        <w:top w:val="none" w:sz="0" w:space="0" w:color="auto"/>
        <w:left w:val="none" w:sz="0" w:space="0" w:color="auto"/>
        <w:bottom w:val="none" w:sz="0" w:space="0" w:color="auto"/>
        <w:right w:val="none" w:sz="0" w:space="0" w:color="auto"/>
      </w:divBdr>
    </w:div>
    <w:div w:id="1629509705">
      <w:bodyDiv w:val="1"/>
      <w:marLeft w:val="0"/>
      <w:marRight w:val="0"/>
      <w:marTop w:val="0"/>
      <w:marBottom w:val="0"/>
      <w:divBdr>
        <w:top w:val="none" w:sz="0" w:space="0" w:color="auto"/>
        <w:left w:val="none" w:sz="0" w:space="0" w:color="auto"/>
        <w:bottom w:val="none" w:sz="0" w:space="0" w:color="auto"/>
        <w:right w:val="none" w:sz="0" w:space="0" w:color="auto"/>
      </w:divBdr>
    </w:div>
    <w:div w:id="1637837175">
      <w:bodyDiv w:val="1"/>
      <w:marLeft w:val="0"/>
      <w:marRight w:val="0"/>
      <w:marTop w:val="0"/>
      <w:marBottom w:val="0"/>
      <w:divBdr>
        <w:top w:val="none" w:sz="0" w:space="0" w:color="auto"/>
        <w:left w:val="none" w:sz="0" w:space="0" w:color="auto"/>
        <w:bottom w:val="none" w:sz="0" w:space="0" w:color="auto"/>
        <w:right w:val="none" w:sz="0" w:space="0" w:color="auto"/>
      </w:divBdr>
    </w:div>
    <w:div w:id="1723291854">
      <w:bodyDiv w:val="1"/>
      <w:marLeft w:val="0"/>
      <w:marRight w:val="0"/>
      <w:marTop w:val="0"/>
      <w:marBottom w:val="0"/>
      <w:divBdr>
        <w:top w:val="none" w:sz="0" w:space="0" w:color="auto"/>
        <w:left w:val="none" w:sz="0" w:space="0" w:color="auto"/>
        <w:bottom w:val="none" w:sz="0" w:space="0" w:color="auto"/>
        <w:right w:val="none" w:sz="0" w:space="0" w:color="auto"/>
      </w:divBdr>
    </w:div>
    <w:div w:id="1745834616">
      <w:bodyDiv w:val="1"/>
      <w:marLeft w:val="0"/>
      <w:marRight w:val="0"/>
      <w:marTop w:val="0"/>
      <w:marBottom w:val="0"/>
      <w:divBdr>
        <w:top w:val="none" w:sz="0" w:space="0" w:color="auto"/>
        <w:left w:val="none" w:sz="0" w:space="0" w:color="auto"/>
        <w:bottom w:val="none" w:sz="0" w:space="0" w:color="auto"/>
        <w:right w:val="none" w:sz="0" w:space="0" w:color="auto"/>
      </w:divBdr>
    </w:div>
    <w:div w:id="1750349545">
      <w:bodyDiv w:val="1"/>
      <w:marLeft w:val="0"/>
      <w:marRight w:val="0"/>
      <w:marTop w:val="0"/>
      <w:marBottom w:val="0"/>
      <w:divBdr>
        <w:top w:val="none" w:sz="0" w:space="0" w:color="auto"/>
        <w:left w:val="none" w:sz="0" w:space="0" w:color="auto"/>
        <w:bottom w:val="none" w:sz="0" w:space="0" w:color="auto"/>
        <w:right w:val="none" w:sz="0" w:space="0" w:color="auto"/>
      </w:divBdr>
    </w:div>
    <w:div w:id="1783916195">
      <w:bodyDiv w:val="1"/>
      <w:marLeft w:val="0"/>
      <w:marRight w:val="0"/>
      <w:marTop w:val="0"/>
      <w:marBottom w:val="0"/>
      <w:divBdr>
        <w:top w:val="none" w:sz="0" w:space="0" w:color="auto"/>
        <w:left w:val="none" w:sz="0" w:space="0" w:color="auto"/>
        <w:bottom w:val="none" w:sz="0" w:space="0" w:color="auto"/>
        <w:right w:val="none" w:sz="0" w:space="0" w:color="auto"/>
      </w:divBdr>
    </w:div>
    <w:div w:id="1845120844">
      <w:bodyDiv w:val="1"/>
      <w:marLeft w:val="0"/>
      <w:marRight w:val="0"/>
      <w:marTop w:val="0"/>
      <w:marBottom w:val="0"/>
      <w:divBdr>
        <w:top w:val="none" w:sz="0" w:space="0" w:color="auto"/>
        <w:left w:val="none" w:sz="0" w:space="0" w:color="auto"/>
        <w:bottom w:val="none" w:sz="0" w:space="0" w:color="auto"/>
        <w:right w:val="none" w:sz="0" w:space="0" w:color="auto"/>
      </w:divBdr>
    </w:div>
    <w:div w:id="1853376834">
      <w:bodyDiv w:val="1"/>
      <w:marLeft w:val="0"/>
      <w:marRight w:val="0"/>
      <w:marTop w:val="0"/>
      <w:marBottom w:val="0"/>
      <w:divBdr>
        <w:top w:val="none" w:sz="0" w:space="0" w:color="auto"/>
        <w:left w:val="none" w:sz="0" w:space="0" w:color="auto"/>
        <w:bottom w:val="none" w:sz="0" w:space="0" w:color="auto"/>
        <w:right w:val="none" w:sz="0" w:space="0" w:color="auto"/>
      </w:divBdr>
    </w:div>
    <w:div w:id="1926306342">
      <w:bodyDiv w:val="1"/>
      <w:marLeft w:val="0"/>
      <w:marRight w:val="0"/>
      <w:marTop w:val="0"/>
      <w:marBottom w:val="0"/>
      <w:divBdr>
        <w:top w:val="none" w:sz="0" w:space="0" w:color="auto"/>
        <w:left w:val="none" w:sz="0" w:space="0" w:color="auto"/>
        <w:bottom w:val="none" w:sz="0" w:space="0" w:color="auto"/>
        <w:right w:val="none" w:sz="0" w:space="0" w:color="auto"/>
      </w:divBdr>
      <w:divsChild>
        <w:div w:id="706683369">
          <w:marLeft w:val="446"/>
          <w:marRight w:val="0"/>
          <w:marTop w:val="0"/>
          <w:marBottom w:val="0"/>
          <w:divBdr>
            <w:top w:val="none" w:sz="0" w:space="0" w:color="auto"/>
            <w:left w:val="none" w:sz="0" w:space="0" w:color="auto"/>
            <w:bottom w:val="none" w:sz="0" w:space="0" w:color="auto"/>
            <w:right w:val="none" w:sz="0" w:space="0" w:color="auto"/>
          </w:divBdr>
        </w:div>
        <w:div w:id="1413968053">
          <w:marLeft w:val="446"/>
          <w:marRight w:val="0"/>
          <w:marTop w:val="0"/>
          <w:marBottom w:val="0"/>
          <w:divBdr>
            <w:top w:val="none" w:sz="0" w:space="0" w:color="auto"/>
            <w:left w:val="none" w:sz="0" w:space="0" w:color="auto"/>
            <w:bottom w:val="none" w:sz="0" w:space="0" w:color="auto"/>
            <w:right w:val="none" w:sz="0" w:space="0" w:color="auto"/>
          </w:divBdr>
        </w:div>
        <w:div w:id="1800881046">
          <w:marLeft w:val="446"/>
          <w:marRight w:val="0"/>
          <w:marTop w:val="0"/>
          <w:marBottom w:val="0"/>
          <w:divBdr>
            <w:top w:val="none" w:sz="0" w:space="0" w:color="auto"/>
            <w:left w:val="none" w:sz="0" w:space="0" w:color="auto"/>
            <w:bottom w:val="none" w:sz="0" w:space="0" w:color="auto"/>
            <w:right w:val="none" w:sz="0" w:space="0" w:color="auto"/>
          </w:divBdr>
        </w:div>
      </w:divsChild>
    </w:div>
    <w:div w:id="1926647794">
      <w:bodyDiv w:val="1"/>
      <w:marLeft w:val="0"/>
      <w:marRight w:val="0"/>
      <w:marTop w:val="0"/>
      <w:marBottom w:val="0"/>
      <w:divBdr>
        <w:top w:val="none" w:sz="0" w:space="0" w:color="auto"/>
        <w:left w:val="none" w:sz="0" w:space="0" w:color="auto"/>
        <w:bottom w:val="none" w:sz="0" w:space="0" w:color="auto"/>
        <w:right w:val="none" w:sz="0" w:space="0" w:color="auto"/>
      </w:divBdr>
    </w:div>
    <w:div w:id="1927500358">
      <w:bodyDiv w:val="1"/>
      <w:marLeft w:val="0"/>
      <w:marRight w:val="0"/>
      <w:marTop w:val="0"/>
      <w:marBottom w:val="0"/>
      <w:divBdr>
        <w:top w:val="none" w:sz="0" w:space="0" w:color="auto"/>
        <w:left w:val="none" w:sz="0" w:space="0" w:color="auto"/>
        <w:bottom w:val="none" w:sz="0" w:space="0" w:color="auto"/>
        <w:right w:val="none" w:sz="0" w:space="0" w:color="auto"/>
      </w:divBdr>
      <w:divsChild>
        <w:div w:id="111636357">
          <w:marLeft w:val="446"/>
          <w:marRight w:val="0"/>
          <w:marTop w:val="0"/>
          <w:marBottom w:val="0"/>
          <w:divBdr>
            <w:top w:val="none" w:sz="0" w:space="0" w:color="auto"/>
            <w:left w:val="none" w:sz="0" w:space="0" w:color="auto"/>
            <w:bottom w:val="none" w:sz="0" w:space="0" w:color="auto"/>
            <w:right w:val="none" w:sz="0" w:space="0" w:color="auto"/>
          </w:divBdr>
        </w:div>
        <w:div w:id="265116485">
          <w:marLeft w:val="446"/>
          <w:marRight w:val="0"/>
          <w:marTop w:val="0"/>
          <w:marBottom w:val="0"/>
          <w:divBdr>
            <w:top w:val="none" w:sz="0" w:space="0" w:color="auto"/>
            <w:left w:val="none" w:sz="0" w:space="0" w:color="auto"/>
            <w:bottom w:val="none" w:sz="0" w:space="0" w:color="auto"/>
            <w:right w:val="none" w:sz="0" w:space="0" w:color="auto"/>
          </w:divBdr>
        </w:div>
        <w:div w:id="1220169965">
          <w:marLeft w:val="446"/>
          <w:marRight w:val="0"/>
          <w:marTop w:val="0"/>
          <w:marBottom w:val="0"/>
          <w:divBdr>
            <w:top w:val="none" w:sz="0" w:space="0" w:color="auto"/>
            <w:left w:val="none" w:sz="0" w:space="0" w:color="auto"/>
            <w:bottom w:val="none" w:sz="0" w:space="0" w:color="auto"/>
            <w:right w:val="none" w:sz="0" w:space="0" w:color="auto"/>
          </w:divBdr>
        </w:div>
        <w:div w:id="1231111033">
          <w:marLeft w:val="446"/>
          <w:marRight w:val="0"/>
          <w:marTop w:val="0"/>
          <w:marBottom w:val="0"/>
          <w:divBdr>
            <w:top w:val="none" w:sz="0" w:space="0" w:color="auto"/>
            <w:left w:val="none" w:sz="0" w:space="0" w:color="auto"/>
            <w:bottom w:val="none" w:sz="0" w:space="0" w:color="auto"/>
            <w:right w:val="none" w:sz="0" w:space="0" w:color="auto"/>
          </w:divBdr>
        </w:div>
        <w:div w:id="1743327666">
          <w:marLeft w:val="446"/>
          <w:marRight w:val="0"/>
          <w:marTop w:val="0"/>
          <w:marBottom w:val="0"/>
          <w:divBdr>
            <w:top w:val="none" w:sz="0" w:space="0" w:color="auto"/>
            <w:left w:val="none" w:sz="0" w:space="0" w:color="auto"/>
            <w:bottom w:val="none" w:sz="0" w:space="0" w:color="auto"/>
            <w:right w:val="none" w:sz="0" w:space="0" w:color="auto"/>
          </w:divBdr>
        </w:div>
      </w:divsChild>
    </w:div>
    <w:div w:id="1940601479">
      <w:bodyDiv w:val="1"/>
      <w:marLeft w:val="0"/>
      <w:marRight w:val="0"/>
      <w:marTop w:val="0"/>
      <w:marBottom w:val="0"/>
      <w:divBdr>
        <w:top w:val="none" w:sz="0" w:space="0" w:color="auto"/>
        <w:left w:val="none" w:sz="0" w:space="0" w:color="auto"/>
        <w:bottom w:val="none" w:sz="0" w:space="0" w:color="auto"/>
        <w:right w:val="none" w:sz="0" w:space="0" w:color="auto"/>
      </w:divBdr>
      <w:divsChild>
        <w:div w:id="393697833">
          <w:marLeft w:val="850"/>
          <w:marRight w:val="0"/>
          <w:marTop w:val="96"/>
          <w:marBottom w:val="0"/>
          <w:divBdr>
            <w:top w:val="none" w:sz="0" w:space="0" w:color="auto"/>
            <w:left w:val="none" w:sz="0" w:space="0" w:color="auto"/>
            <w:bottom w:val="none" w:sz="0" w:space="0" w:color="auto"/>
            <w:right w:val="none" w:sz="0" w:space="0" w:color="auto"/>
          </w:divBdr>
        </w:div>
        <w:div w:id="996568741">
          <w:marLeft w:val="850"/>
          <w:marRight w:val="0"/>
          <w:marTop w:val="96"/>
          <w:marBottom w:val="0"/>
          <w:divBdr>
            <w:top w:val="none" w:sz="0" w:space="0" w:color="auto"/>
            <w:left w:val="none" w:sz="0" w:space="0" w:color="auto"/>
            <w:bottom w:val="none" w:sz="0" w:space="0" w:color="auto"/>
            <w:right w:val="none" w:sz="0" w:space="0" w:color="auto"/>
          </w:divBdr>
        </w:div>
        <w:div w:id="1347247584">
          <w:marLeft w:val="850"/>
          <w:marRight w:val="0"/>
          <w:marTop w:val="96"/>
          <w:marBottom w:val="0"/>
          <w:divBdr>
            <w:top w:val="none" w:sz="0" w:space="0" w:color="auto"/>
            <w:left w:val="none" w:sz="0" w:space="0" w:color="auto"/>
            <w:bottom w:val="none" w:sz="0" w:space="0" w:color="auto"/>
            <w:right w:val="none" w:sz="0" w:space="0" w:color="auto"/>
          </w:divBdr>
        </w:div>
        <w:div w:id="1514804994">
          <w:marLeft w:val="850"/>
          <w:marRight w:val="0"/>
          <w:marTop w:val="96"/>
          <w:marBottom w:val="0"/>
          <w:divBdr>
            <w:top w:val="none" w:sz="0" w:space="0" w:color="auto"/>
            <w:left w:val="none" w:sz="0" w:space="0" w:color="auto"/>
            <w:bottom w:val="none" w:sz="0" w:space="0" w:color="auto"/>
            <w:right w:val="none" w:sz="0" w:space="0" w:color="auto"/>
          </w:divBdr>
        </w:div>
        <w:div w:id="2027633872">
          <w:marLeft w:val="850"/>
          <w:marRight w:val="0"/>
          <w:marTop w:val="96"/>
          <w:marBottom w:val="0"/>
          <w:divBdr>
            <w:top w:val="none" w:sz="0" w:space="0" w:color="auto"/>
            <w:left w:val="none" w:sz="0" w:space="0" w:color="auto"/>
            <w:bottom w:val="none" w:sz="0" w:space="0" w:color="auto"/>
            <w:right w:val="none" w:sz="0" w:space="0" w:color="auto"/>
          </w:divBdr>
        </w:div>
      </w:divsChild>
    </w:div>
    <w:div w:id="1942107982">
      <w:bodyDiv w:val="1"/>
      <w:marLeft w:val="0"/>
      <w:marRight w:val="0"/>
      <w:marTop w:val="0"/>
      <w:marBottom w:val="0"/>
      <w:divBdr>
        <w:top w:val="none" w:sz="0" w:space="0" w:color="auto"/>
        <w:left w:val="none" w:sz="0" w:space="0" w:color="auto"/>
        <w:bottom w:val="none" w:sz="0" w:space="0" w:color="auto"/>
        <w:right w:val="none" w:sz="0" w:space="0" w:color="auto"/>
      </w:divBdr>
    </w:div>
    <w:div w:id="2052849951">
      <w:bodyDiv w:val="1"/>
      <w:marLeft w:val="0"/>
      <w:marRight w:val="0"/>
      <w:marTop w:val="0"/>
      <w:marBottom w:val="0"/>
      <w:divBdr>
        <w:top w:val="none" w:sz="0" w:space="0" w:color="auto"/>
        <w:left w:val="none" w:sz="0" w:space="0" w:color="auto"/>
        <w:bottom w:val="none" w:sz="0" w:space="0" w:color="auto"/>
        <w:right w:val="none" w:sz="0" w:space="0" w:color="auto"/>
      </w:divBdr>
    </w:div>
    <w:div w:id="2073304315">
      <w:bodyDiv w:val="1"/>
      <w:marLeft w:val="0"/>
      <w:marRight w:val="0"/>
      <w:marTop w:val="0"/>
      <w:marBottom w:val="0"/>
      <w:divBdr>
        <w:top w:val="none" w:sz="0" w:space="0" w:color="auto"/>
        <w:left w:val="none" w:sz="0" w:space="0" w:color="auto"/>
        <w:bottom w:val="none" w:sz="0" w:space="0" w:color="auto"/>
        <w:right w:val="none" w:sz="0" w:space="0" w:color="auto"/>
      </w:divBdr>
    </w:div>
    <w:div w:id="2099666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image" Target="media/image1.emf"/><Relationship Id="rId3" Type="http://schemas.openxmlformats.org/officeDocument/2006/relationships/styles" Target="styles.xml"/><Relationship Id="rId21" Type="http://schemas.openxmlformats.org/officeDocument/2006/relationships/chart" Target="charts/chart13.xml"/><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image" Target="media/image3.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image" Target="media/image6.emf"/><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18.xml"/><Relationship Id="rId36" Type="http://schemas.openxmlformats.org/officeDocument/2006/relationships/fontTable" Target="fontTable.xm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image" Target="media/image5.emf"/><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image" Target="media/image2.emf"/><Relationship Id="rId30" Type="http://schemas.openxmlformats.org/officeDocument/2006/relationships/image" Target="media/image4.emf"/><Relationship Id="rId35"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deefoper12\Documents\Mis%20Documentos\2020\DTF\memoria%20de%20labores%202019\Cuadros%20para%20cierre%202019.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deefoper12\Documents\Mis%20Documentos\2020\DTF\memoria%20de%20labores%202019\Cuadros%20para%20cierre%202019.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deefoper12\Documents\Mis%20Documentos\2020\DTF\memoria%20de%20labores%202019\Cuadros%20para%20cierre%202019.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deefoper12\Documents\Mis%20Documentos\2020\DTF\memoria%20de%20labores%202019\Cuadros%20para%20cierre%202019.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deefoper12\Documents\Mis%20Documentos\2020\DTF\memoria%20de%20labores%202019\Cuadros%20para%20cierre%202019.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GT"/>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80811898512686E-2"/>
          <c:y val="1.7938063864465923E-2"/>
          <c:w val="0.86756955380577427"/>
          <c:h val="0.76645546857663205"/>
        </c:manualLayout>
      </c:layout>
      <c:barChart>
        <c:barDir val="col"/>
        <c:grouping val="stacked"/>
        <c:varyColors val="0"/>
        <c:ser>
          <c:idx val="0"/>
          <c:order val="0"/>
          <c:spPr>
            <a:solidFill>
              <a:schemeClr val="accent1"/>
            </a:solidFill>
            <a:ln w="12700">
              <a:noFill/>
            </a:ln>
            <a:effectLst>
              <a:innerShdw blurRad="63500" dist="50800" dir="16200000">
                <a:schemeClr val="accent2">
                  <a:alpha val="50000"/>
                </a:schemeClr>
              </a:innerShdw>
            </a:effectLst>
            <a:scene3d>
              <a:camera prst="orthographicFront"/>
              <a:lightRig rig="threePt" dir="t"/>
            </a:scene3d>
            <a:sp3d>
              <a:bevelT/>
            </a:sp3d>
          </c:spPr>
          <c:invertIfNegative val="0"/>
          <c:dPt>
            <c:idx val="6"/>
            <c:invertIfNegative val="0"/>
            <c:bubble3D val="0"/>
            <c:spPr>
              <a:solidFill>
                <a:schemeClr val="tx2">
                  <a:lumMod val="50000"/>
                </a:schemeClr>
              </a:solidFill>
              <a:ln w="12700">
                <a:noFill/>
              </a:ln>
              <a:effectLst>
                <a:innerShdw blurRad="63500" dist="50800" dir="16200000">
                  <a:schemeClr val="accent2">
                    <a:alpha val="50000"/>
                  </a:schemeClr>
                </a:inn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41CA-4DB5-A69F-19080B834227}"/>
              </c:ext>
            </c:extLst>
          </c:dPt>
          <c:dPt>
            <c:idx val="8"/>
            <c:invertIfNegative val="0"/>
            <c:bubble3D val="0"/>
            <c:extLst xmlns:c16r2="http://schemas.microsoft.com/office/drawing/2015/06/chart">
              <c:ext xmlns:c16="http://schemas.microsoft.com/office/drawing/2014/chart" uri="{C3380CC4-5D6E-409C-BE32-E72D297353CC}">
                <c16:uniqueId val="{00000002-41CA-4DB5-A69F-19080B834227}"/>
              </c:ext>
            </c:extLst>
          </c:dPt>
          <c:dPt>
            <c:idx val="11"/>
            <c:invertIfNegative val="0"/>
            <c:bubble3D val="0"/>
            <c:extLst xmlns:c16r2="http://schemas.microsoft.com/office/drawing/2015/06/chart">
              <c:ext xmlns:c16="http://schemas.microsoft.com/office/drawing/2014/chart" uri="{C3380CC4-5D6E-409C-BE32-E72D297353CC}">
                <c16:uniqueId val="{00000003-41CA-4DB5-A69F-19080B834227}"/>
              </c:ext>
            </c:extLst>
          </c:dPt>
          <c:dPt>
            <c:idx val="12"/>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5-41CA-4DB5-A69F-19080B834227}"/>
              </c:ext>
            </c:extLst>
          </c:dPt>
          <c:dLbls>
            <c:dLbl>
              <c:idx val="6"/>
              <c:spPr>
                <a:noFill/>
                <a:ln>
                  <a:noFill/>
                </a:ln>
                <a:effectLst/>
              </c:spPr>
              <c:txPr>
                <a:bodyPr/>
                <a:lstStyle/>
                <a:p>
                  <a:pPr>
                    <a:defRPr b="1">
                      <a:solidFill>
                        <a:schemeClr val="bg1"/>
                      </a:solidFill>
                    </a:defRPr>
                  </a:pPr>
                  <a:endParaRPr lang="es-GT"/>
                </a:p>
              </c:txPr>
              <c:dLblPos val="inEnd"/>
              <c:showLegendKey val="0"/>
              <c:showVal val="1"/>
              <c:showCatName val="0"/>
              <c:showSerName val="0"/>
              <c:showPercent val="0"/>
              <c:showBubbleSize val="0"/>
            </c:dLbl>
            <c:spPr>
              <a:noFill/>
              <a:ln>
                <a:noFill/>
              </a:ln>
              <a:effectLst/>
            </c:spPr>
            <c:txPr>
              <a:bodyPr/>
              <a:lstStyle/>
              <a:p>
                <a:pPr>
                  <a:defRPr b="1"/>
                </a:pPr>
                <a:endParaRPr lang="es-G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'PIB Nacional'!$B$13:$B$19</c:f>
              <c:strCache>
                <c:ptCount val="7"/>
                <c:pt idx="0">
                  <c:v>2014</c:v>
                </c:pt>
                <c:pt idx="1">
                  <c:v>2015</c:v>
                </c:pt>
                <c:pt idx="2">
                  <c:v>2016</c:v>
                </c:pt>
                <c:pt idx="3">
                  <c:v>2017</c:v>
                </c:pt>
                <c:pt idx="4">
                  <c:v>2018</c:v>
                </c:pt>
                <c:pt idx="5">
                  <c:v>2019  p/ </c:v>
                </c:pt>
                <c:pt idx="6">
                  <c:v>2020 py</c:v>
                </c:pt>
              </c:strCache>
            </c:strRef>
          </c:cat>
          <c:val>
            <c:numRef>
              <c:f>'PIB Nacional'!$D$13:$D$19</c:f>
              <c:numCache>
                <c:formatCode>#,##0.0</c:formatCode>
                <c:ptCount val="7"/>
                <c:pt idx="0">
                  <c:v>4.4000000000000004</c:v>
                </c:pt>
                <c:pt idx="1">
                  <c:v>4.0999999999999996</c:v>
                </c:pt>
                <c:pt idx="2">
                  <c:v>2.7</c:v>
                </c:pt>
                <c:pt idx="3">
                  <c:v>3</c:v>
                </c:pt>
                <c:pt idx="4">
                  <c:v>3.1</c:v>
                </c:pt>
                <c:pt idx="5">
                  <c:v>3.5</c:v>
                </c:pt>
                <c:pt idx="6">
                  <c:v>3.6</c:v>
                </c:pt>
              </c:numCache>
            </c:numRef>
          </c:val>
          <c:extLst xmlns:c16r2="http://schemas.microsoft.com/office/drawing/2015/06/chart">
            <c:ext xmlns:c16="http://schemas.microsoft.com/office/drawing/2014/chart" uri="{C3380CC4-5D6E-409C-BE32-E72D297353CC}">
              <c16:uniqueId val="{00000006-41CA-4DB5-A69F-19080B834227}"/>
            </c:ext>
          </c:extLst>
        </c:ser>
        <c:dLbls>
          <c:showLegendKey val="0"/>
          <c:showVal val="0"/>
          <c:showCatName val="0"/>
          <c:showSerName val="0"/>
          <c:showPercent val="0"/>
          <c:showBubbleSize val="0"/>
        </c:dLbls>
        <c:gapWidth val="21"/>
        <c:overlap val="-61"/>
        <c:axId val="232319616"/>
        <c:axId val="232636800"/>
      </c:barChart>
      <c:catAx>
        <c:axId val="232319616"/>
        <c:scaling>
          <c:orientation val="minMax"/>
        </c:scaling>
        <c:delete val="0"/>
        <c:axPos val="b"/>
        <c:numFmt formatCode="0" sourceLinked="0"/>
        <c:majorTickMark val="none"/>
        <c:minorTickMark val="none"/>
        <c:tickLblPos val="nextTo"/>
        <c:spPr>
          <a:ln w="12700"/>
          <a:effectLst>
            <a:softEdge rad="12700"/>
          </a:effectLst>
        </c:spPr>
        <c:crossAx val="232636800"/>
        <c:crosses val="autoZero"/>
        <c:auto val="1"/>
        <c:lblAlgn val="ctr"/>
        <c:lblOffset val="100"/>
        <c:noMultiLvlLbl val="0"/>
      </c:catAx>
      <c:valAx>
        <c:axId val="232636800"/>
        <c:scaling>
          <c:orientation val="minMax"/>
        </c:scaling>
        <c:delete val="0"/>
        <c:axPos val="l"/>
        <c:title>
          <c:tx>
            <c:rich>
              <a:bodyPr rot="0" vert="horz"/>
              <a:lstStyle/>
              <a:p>
                <a:pPr>
                  <a:defRPr/>
                </a:pPr>
                <a:r>
                  <a:rPr lang="es-GT"/>
                  <a:t>Porcentaje</a:t>
                </a:r>
              </a:p>
            </c:rich>
          </c:tx>
          <c:layout>
            <c:manualLayout>
              <c:xMode val="edge"/>
              <c:yMode val="edge"/>
              <c:x val="1.4466071741032371E-2"/>
              <c:y val="3.6667209702235491E-2"/>
            </c:manualLayout>
          </c:layout>
          <c:overlay val="0"/>
        </c:title>
        <c:numFmt formatCode="#,##0.0" sourceLinked="0"/>
        <c:majorTickMark val="none"/>
        <c:minorTickMark val="none"/>
        <c:tickLblPos val="nextTo"/>
        <c:crossAx val="232319616"/>
        <c:crossesAt val="1"/>
        <c:crossBetween val="between"/>
      </c:valAx>
      <c:spPr>
        <a:noFill/>
        <a:ln>
          <a:noFill/>
        </a:ln>
        <a:effectLst>
          <a:glow rad="101600">
            <a:schemeClr val="accent5">
              <a:satMod val="175000"/>
              <a:alpha val="40000"/>
            </a:schemeClr>
          </a:glow>
          <a:innerShdw blurRad="63500" dist="50800" dir="16200000">
            <a:prstClr val="black">
              <a:alpha val="50000"/>
            </a:prstClr>
          </a:innerShdw>
        </a:effectLst>
        <a:scene3d>
          <a:camera prst="orthographicFront"/>
          <a:lightRig rig="threePt" dir="t"/>
        </a:scene3d>
        <a:sp3d>
          <a:bevelT/>
        </a:sp3d>
      </c:spPr>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es-GT"/>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515725758312796"/>
          <c:y val="0.11739582637060011"/>
          <c:w val="0.79048863800375258"/>
          <c:h val="0.74889581077408396"/>
        </c:manualLayout>
      </c:layout>
      <c:lineChart>
        <c:grouping val="standard"/>
        <c:varyColors val="0"/>
        <c:ser>
          <c:idx val="0"/>
          <c:order val="0"/>
          <c:tx>
            <c:strRef>
              <c:f>'Carga tributaria'!$B$7</c:f>
              <c:strCache>
                <c:ptCount val="1"/>
                <c:pt idx="0">
                  <c:v>Carga Tributaria</c:v>
                </c:pt>
              </c:strCache>
            </c:strRef>
          </c:tx>
          <c:spPr>
            <a:ln w="34925">
              <a:solidFill>
                <a:srgbClr val="000000">
                  <a:lumMod val="50000"/>
                </a:srgbClr>
              </a:solidFill>
            </a:ln>
          </c:spPr>
          <c:marker>
            <c:spPr>
              <a:solidFill>
                <a:schemeClr val="tx2">
                  <a:lumMod val="50000"/>
                </a:schemeClr>
              </a:solidFill>
            </c:spPr>
          </c:marker>
          <c:dLbls>
            <c:dLbl>
              <c:idx val="0"/>
              <c:layout>
                <c:manualLayout>
                  <c:x val="-3.9111111111111152E-2"/>
                  <c:y val="4.301075268817204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61E-434B-947D-7AF6424A61EC}"/>
                </c:ext>
              </c:extLst>
            </c:dLbl>
            <c:dLbl>
              <c:idx val="1"/>
              <c:layout>
                <c:manualLayout>
                  <c:x val="-3.0222222222222251E-2"/>
                  <c:y val="-4.074702886247879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61E-434B-947D-7AF6424A61EC}"/>
                </c:ext>
              </c:extLst>
            </c:dLbl>
            <c:dLbl>
              <c:idx val="2"/>
              <c:layout>
                <c:manualLayout>
                  <c:x val="-3.7333333333333406E-2"/>
                  <c:y val="3.395585738539898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61E-434B-947D-7AF6424A61EC}"/>
                </c:ext>
              </c:extLst>
            </c:dLbl>
            <c:dLbl>
              <c:idx val="3"/>
              <c:layout>
                <c:manualLayout>
                  <c:x val="-5.1929838358220199E-4"/>
                  <c:y val="-2.716486415428971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61E-434B-947D-7AF6424A61EC}"/>
                </c:ext>
              </c:extLst>
            </c:dLbl>
            <c:dLbl>
              <c:idx val="4"/>
              <c:layout>
                <c:manualLayout>
                  <c:x val="-3.487150104031924E-2"/>
                  <c:y val="3.848312679081498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61E-434B-947D-7AF6424A61EC}"/>
                </c:ext>
              </c:extLst>
            </c:dLbl>
            <c:dLbl>
              <c:idx val="5"/>
              <c:layout>
                <c:manualLayout>
                  <c:x val="-4.9440253264924024E-2"/>
                  <c:y val="-3.621958121109229E-2"/>
                </c:manualLayout>
              </c:layout>
              <c:tx>
                <c:rich>
                  <a:bodyPr/>
                  <a:lstStyle/>
                  <a:p>
                    <a:r>
                      <a:rPr lang="en-US"/>
                      <a:t>10.7%</a:t>
                    </a:r>
                  </a:p>
                </c:rich>
              </c:tx>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61E-434B-947D-7AF6424A61EC}"/>
                </c:ext>
              </c:extLst>
            </c:dLbl>
            <c:dLbl>
              <c:idx val="6"/>
              <c:layout>
                <c:manualLayout>
                  <c:x val="-4.4444444444444502E-2"/>
                  <c:y val="4.0747028862478794E-2"/>
                </c:manualLayout>
              </c:layout>
              <c:tx>
                <c:rich>
                  <a:bodyPr/>
                  <a:lstStyle/>
                  <a:p>
                    <a:r>
                      <a:rPr lang="en-US"/>
                      <a:t>10.7%</a:t>
                    </a:r>
                  </a:p>
                </c:rich>
              </c:tx>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61E-434B-947D-7AF6424A61EC}"/>
                </c:ext>
              </c:extLst>
            </c:dLbl>
            <c:dLbl>
              <c:idx val="7"/>
              <c:layout>
                <c:manualLayout>
                  <c:x val="-4.1614648356221404E-2"/>
                  <c:y val="-4.753837858552907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61E-434B-947D-7AF6424A61EC}"/>
                </c:ext>
              </c:extLst>
            </c:dLbl>
            <c:dLbl>
              <c:idx val="8"/>
              <c:layout>
                <c:manualLayout>
                  <c:x val="-3.5668799826987917E-2"/>
                  <c:y val="4.753820033955863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461E-434B-947D-7AF6424A61EC}"/>
                </c:ext>
              </c:extLst>
            </c:dLbl>
            <c:dLbl>
              <c:idx val="9"/>
              <c:layout>
                <c:manualLayout>
                  <c:x val="-2.2012510608458602E-2"/>
                  <c:y val="-3.395585738539898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461E-434B-947D-7AF6424A61EC}"/>
                </c:ext>
              </c:extLst>
            </c:dLbl>
            <c:dLbl>
              <c:idx val="10"/>
              <c:layout>
                <c:manualLayout>
                  <c:x val="-3.8187905673863536E-2"/>
                  <c:y val="2.4900962082625919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461E-434B-947D-7AF6424A61EC}"/>
                </c:ext>
              </c:extLst>
            </c:dLbl>
            <c:dLbl>
              <c:idx val="11"/>
              <c:layout>
                <c:manualLayout>
                  <c:x val="-3.750381257469608E-2"/>
                  <c:y val="-2.7164685908319226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461E-434B-947D-7AF6424A61EC}"/>
                </c:ext>
              </c:extLst>
            </c:dLbl>
            <c:dLbl>
              <c:idx val="12"/>
              <c:layout>
                <c:manualLayout>
                  <c:x val="-4.4486308009734833E-2"/>
                  <c:y val="3.621958121109224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461E-434B-947D-7AF6424A61EC}"/>
                </c:ext>
              </c:extLst>
            </c:dLbl>
            <c:dLbl>
              <c:idx val="13"/>
              <c:layout>
                <c:manualLayout>
                  <c:x val="-3.3811098860712971E-2"/>
                  <c:y val="-3.395585738539902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461E-434B-947D-7AF6424A61EC}"/>
                </c:ext>
              </c:extLst>
            </c:dLbl>
            <c:spPr>
              <a:noFill/>
              <a:ln>
                <a:noFill/>
              </a:ln>
              <a:effectLst/>
            </c:spPr>
            <c:txPr>
              <a:bodyPr/>
              <a:lstStyle/>
              <a:p>
                <a:pPr>
                  <a:defRPr sz="900" b="1"/>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'Carga tributaria'!$L$3:$R$3</c:f>
              <c:numCache>
                <c:formatCode>General</c:formatCode>
                <c:ptCount val="7"/>
                <c:pt idx="0">
                  <c:v>2013</c:v>
                </c:pt>
                <c:pt idx="1">
                  <c:v>2014</c:v>
                </c:pt>
                <c:pt idx="2">
                  <c:v>2015</c:v>
                </c:pt>
                <c:pt idx="3">
                  <c:v>2016</c:v>
                </c:pt>
                <c:pt idx="4">
                  <c:v>2017</c:v>
                </c:pt>
                <c:pt idx="5">
                  <c:v>2018</c:v>
                </c:pt>
                <c:pt idx="6">
                  <c:v>2019</c:v>
                </c:pt>
              </c:numCache>
            </c:numRef>
          </c:cat>
          <c:val>
            <c:numRef>
              <c:f>'Carga tributaria'!$L$8:$R$8</c:f>
              <c:numCache>
                <c:formatCode>0.0%</c:formatCode>
                <c:ptCount val="7"/>
                <c:pt idx="0">
                  <c:v>0.11128101557307478</c:v>
                </c:pt>
                <c:pt idx="1">
                  <c:v>0.10975635860671258</c:v>
                </c:pt>
                <c:pt idx="2">
                  <c:v>0.10447132107290816</c:v>
                </c:pt>
                <c:pt idx="3">
                  <c:v>0.10778007632786704</c:v>
                </c:pt>
                <c:pt idx="4">
                  <c:v>0.10780762604144295</c:v>
                </c:pt>
                <c:pt idx="5" formatCode="0.00%">
                  <c:v>0.10729098990938435</c:v>
                </c:pt>
                <c:pt idx="6" formatCode="0.00%">
                  <c:v>0.10711299711851782</c:v>
                </c:pt>
              </c:numCache>
            </c:numRef>
          </c:val>
          <c:smooth val="1"/>
          <c:extLst xmlns:c16r2="http://schemas.microsoft.com/office/drawing/2015/06/chart">
            <c:ext xmlns:c16="http://schemas.microsoft.com/office/drawing/2014/chart" uri="{C3380CC4-5D6E-409C-BE32-E72D297353CC}">
              <c16:uniqueId val="{0000000E-461E-434B-947D-7AF6424A61EC}"/>
            </c:ext>
          </c:extLst>
        </c:ser>
        <c:dLbls>
          <c:showLegendKey val="0"/>
          <c:showVal val="0"/>
          <c:showCatName val="0"/>
          <c:showSerName val="0"/>
          <c:showPercent val="0"/>
          <c:showBubbleSize val="0"/>
        </c:dLbls>
        <c:marker val="1"/>
        <c:smooth val="0"/>
        <c:axId val="334989568"/>
        <c:axId val="335015936"/>
      </c:lineChart>
      <c:catAx>
        <c:axId val="334989568"/>
        <c:scaling>
          <c:orientation val="minMax"/>
        </c:scaling>
        <c:delete val="0"/>
        <c:axPos val="b"/>
        <c:numFmt formatCode="General" sourceLinked="1"/>
        <c:majorTickMark val="out"/>
        <c:minorTickMark val="none"/>
        <c:tickLblPos val="nextTo"/>
        <c:txPr>
          <a:bodyPr rot="-5400000" vert="horz"/>
          <a:lstStyle/>
          <a:p>
            <a:pPr>
              <a:defRPr sz="1050" b="1"/>
            </a:pPr>
            <a:endParaRPr lang="es-GT"/>
          </a:p>
        </c:txPr>
        <c:crossAx val="335015936"/>
        <c:crosses val="autoZero"/>
        <c:auto val="1"/>
        <c:lblAlgn val="ctr"/>
        <c:lblOffset val="100"/>
        <c:noMultiLvlLbl val="0"/>
      </c:catAx>
      <c:valAx>
        <c:axId val="335015936"/>
        <c:scaling>
          <c:orientation val="minMax"/>
          <c:min val="9.5000000000000029E-2"/>
        </c:scaling>
        <c:delete val="0"/>
        <c:axPos val="l"/>
        <c:title>
          <c:tx>
            <c:rich>
              <a:bodyPr rot="-5400000" vert="horz"/>
              <a:lstStyle/>
              <a:p>
                <a:pPr>
                  <a:defRPr sz="1100"/>
                </a:pPr>
                <a:r>
                  <a:rPr lang="en-US" sz="1100"/>
                  <a:t>Carga Tributaria</a:t>
                </a:r>
              </a:p>
            </c:rich>
          </c:tx>
          <c:layout>
            <c:manualLayout>
              <c:xMode val="edge"/>
              <c:yMode val="edge"/>
              <c:x val="9.8320652224113455E-3"/>
              <c:y val="0.36609844690957838"/>
            </c:manualLayout>
          </c:layout>
          <c:overlay val="0"/>
        </c:title>
        <c:numFmt formatCode="0.0%" sourceLinked="1"/>
        <c:majorTickMark val="out"/>
        <c:minorTickMark val="none"/>
        <c:tickLblPos val="nextTo"/>
        <c:txPr>
          <a:bodyPr/>
          <a:lstStyle/>
          <a:p>
            <a:pPr>
              <a:defRPr sz="1050" b="1"/>
            </a:pPr>
            <a:endParaRPr lang="es-GT"/>
          </a:p>
        </c:txPr>
        <c:crossAx val="334989568"/>
        <c:crosses val="autoZero"/>
        <c:crossBetween val="between"/>
      </c:valAx>
    </c:plotArea>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988407699037624E-2"/>
          <c:y val="2.1701309064831142E-2"/>
          <c:w val="0.89745603674540686"/>
          <c:h val="0.90565789494002991"/>
        </c:manualLayout>
      </c:layout>
      <c:barChart>
        <c:barDir val="col"/>
        <c:grouping val="clustered"/>
        <c:varyColors val="0"/>
        <c:ser>
          <c:idx val="0"/>
          <c:order val="0"/>
          <c:spPr>
            <a:ln>
              <a:solidFill>
                <a:schemeClr val="accent1">
                  <a:alpha val="48000"/>
                </a:schemeClr>
              </a:solidFill>
            </a:ln>
            <a:effectLst>
              <a:glow>
                <a:schemeClr val="accent1">
                  <a:alpha val="38000"/>
                </a:schemeClr>
              </a:glow>
              <a:softEdge rad="139700"/>
            </a:effectLst>
            <a:scene3d>
              <a:camera prst="orthographicFront"/>
              <a:lightRig rig="threePt" dir="t"/>
            </a:scene3d>
            <a:sp3d>
              <a:bevelT w="95250" h="101600"/>
            </a:sp3d>
          </c:spPr>
          <c:invertIfNegative val="0"/>
          <c:dLbls>
            <c:spPr>
              <a:noFill/>
              <a:ln>
                <a:noFill/>
              </a:ln>
              <a:effectLst/>
            </c:spPr>
            <c:txPr>
              <a:bodyPr/>
              <a:lstStyle/>
              <a:p>
                <a:pPr>
                  <a:defRPr sz="800"/>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'Deuda y déficit'!$B$29:$B$40</c:f>
              <c:strCach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strCache>
            </c:strRef>
          </c:cat>
          <c:val>
            <c:numRef>
              <c:f>'Deuda y déficit'!$C$29:$C$40</c:f>
              <c:numCache>
                <c:formatCode>0.0</c:formatCode>
                <c:ptCount val="12"/>
                <c:pt idx="0">
                  <c:v>20.399999999999999</c:v>
                </c:pt>
                <c:pt idx="1">
                  <c:v>23.3</c:v>
                </c:pt>
                <c:pt idx="2">
                  <c:v>24.427658295611433</c:v>
                </c:pt>
                <c:pt idx="3">
                  <c:v>23.936397667404155</c:v>
                </c:pt>
                <c:pt idx="4">
                  <c:v>24.802319891357094</c:v>
                </c:pt>
                <c:pt idx="5">
                  <c:v>25.179671033797714</c:v>
                </c:pt>
                <c:pt idx="6">
                  <c:v>24.792687127942177</c:v>
                </c:pt>
                <c:pt idx="7">
                  <c:v>24.920180293885085</c:v>
                </c:pt>
                <c:pt idx="8">
                  <c:v>25.033453789550464</c:v>
                </c:pt>
                <c:pt idx="9">
                  <c:v>25.190630615963698</c:v>
                </c:pt>
                <c:pt idx="10">
                  <c:v>26.627921819779932</c:v>
                </c:pt>
                <c:pt idx="11">
                  <c:v>26.904288622915573</c:v>
                </c:pt>
              </c:numCache>
            </c:numRef>
          </c:val>
          <c:extLst xmlns:c16r2="http://schemas.microsoft.com/office/drawing/2015/06/chart">
            <c:ext xmlns:c16="http://schemas.microsoft.com/office/drawing/2014/chart" uri="{C3380CC4-5D6E-409C-BE32-E72D297353CC}">
              <c16:uniqueId val="{00000000-5804-4491-B96A-B0EE0E37423E}"/>
            </c:ext>
          </c:extLst>
        </c:ser>
        <c:dLbls>
          <c:showLegendKey val="0"/>
          <c:showVal val="0"/>
          <c:showCatName val="0"/>
          <c:showSerName val="0"/>
          <c:showPercent val="0"/>
          <c:showBubbleSize val="0"/>
        </c:dLbls>
        <c:gapWidth val="27"/>
        <c:axId val="337503360"/>
        <c:axId val="337504896"/>
      </c:barChart>
      <c:lineChart>
        <c:grouping val="standard"/>
        <c:varyColors val="0"/>
        <c:ser>
          <c:idx val="1"/>
          <c:order val="1"/>
          <c:spPr>
            <a:ln>
              <a:solidFill>
                <a:srgbClr val="FF0000"/>
              </a:solidFill>
            </a:ln>
          </c:spPr>
          <c:marker>
            <c:symbol val="none"/>
          </c:marke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804-4491-B96A-B0EE0E37423E}"/>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804-4491-B96A-B0EE0E37423E}"/>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804-4491-B96A-B0EE0E37423E}"/>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804-4491-B96A-B0EE0E37423E}"/>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804-4491-B96A-B0EE0E37423E}"/>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804-4491-B96A-B0EE0E37423E}"/>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804-4491-B96A-B0EE0E37423E}"/>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804-4491-B96A-B0EE0E37423E}"/>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804-4491-B96A-B0EE0E37423E}"/>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5804-4491-B96A-B0EE0E37423E}"/>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804-4491-B96A-B0EE0E37423E}"/>
                </c:ext>
              </c:extLst>
            </c:dLbl>
            <c:dLbl>
              <c:idx val="11"/>
              <c:layout>
                <c:manualLayout>
                  <c:x val="-3.3908424867295138E-2"/>
                  <c:y val="2.4541185459388503E-2"/>
                </c:manualLayout>
              </c:layout>
              <c:tx>
                <c:rich>
                  <a:bodyPr wrap="square" lIns="38100" tIns="19050" rIns="38100" bIns="19050" anchor="ctr">
                    <a:spAutoFit/>
                  </a:bodyPr>
                  <a:lstStyle/>
                  <a:p>
                    <a:pPr>
                      <a:defRPr sz="800" b="1">
                        <a:solidFill>
                          <a:schemeClr val="bg1"/>
                        </a:solidFill>
                      </a:defRPr>
                    </a:pPr>
                    <a:r>
                      <a:rPr lang="en-US" sz="800" b="1">
                        <a:solidFill>
                          <a:schemeClr val="bg1"/>
                        </a:solidFill>
                      </a:rPr>
                      <a:t>24.6</a:t>
                    </a:r>
                    <a:endParaRPr lang="es-GT" sz="800">
                      <a:solidFill>
                        <a:schemeClr val="bg1"/>
                      </a:solidFill>
                    </a:endParaRPr>
                  </a:p>
                </c:rich>
              </c:tx>
              <c:spPr>
                <a:noFill/>
                <a:ln>
                  <a:noFill/>
                </a:ln>
                <a:effectLst/>
              </c:spPr>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C-5804-4491-B96A-B0EE0E37423E}"/>
                </c:ext>
              </c:extLst>
            </c:dLbl>
            <c:spPr>
              <a:noFill/>
              <a:ln>
                <a:noFill/>
              </a:ln>
              <a:effectLst/>
            </c:sp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'Deuda y déficit'!$B$29:$B$40</c:f>
              <c:strCach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strCache>
            </c:strRef>
          </c:cat>
          <c:val>
            <c:numRef>
              <c:f>'Deuda y déficit'!$D$29:$D$40</c:f>
              <c:numCache>
                <c:formatCode>0.0</c:formatCode>
                <c:ptCount val="12"/>
                <c:pt idx="0">
                  <c:v>24.626267429850611</c:v>
                </c:pt>
                <c:pt idx="1">
                  <c:v>24.626267429850611</c:v>
                </c:pt>
                <c:pt idx="2">
                  <c:v>24.626267429850611</c:v>
                </c:pt>
                <c:pt idx="3">
                  <c:v>24.626267429850611</c:v>
                </c:pt>
                <c:pt idx="4">
                  <c:v>24.626267429850611</c:v>
                </c:pt>
                <c:pt idx="5">
                  <c:v>24.626267429850611</c:v>
                </c:pt>
                <c:pt idx="6">
                  <c:v>24.626267429850611</c:v>
                </c:pt>
                <c:pt idx="7">
                  <c:v>24.626267429850611</c:v>
                </c:pt>
                <c:pt idx="8">
                  <c:v>24.626267429850611</c:v>
                </c:pt>
                <c:pt idx="9">
                  <c:v>24.626267429850611</c:v>
                </c:pt>
                <c:pt idx="10">
                  <c:v>24.626267429850611</c:v>
                </c:pt>
                <c:pt idx="11">
                  <c:v>24.626267429850611</c:v>
                </c:pt>
              </c:numCache>
            </c:numRef>
          </c:val>
          <c:smooth val="0"/>
          <c:extLst xmlns:c16r2="http://schemas.microsoft.com/office/drawing/2015/06/chart">
            <c:ext xmlns:c16="http://schemas.microsoft.com/office/drawing/2014/chart" uri="{C3380CC4-5D6E-409C-BE32-E72D297353CC}">
              <c16:uniqueId val="{0000000D-5804-4491-B96A-B0EE0E37423E}"/>
            </c:ext>
          </c:extLst>
        </c:ser>
        <c:dLbls>
          <c:showLegendKey val="0"/>
          <c:showVal val="0"/>
          <c:showCatName val="0"/>
          <c:showSerName val="0"/>
          <c:showPercent val="0"/>
          <c:showBubbleSize val="0"/>
        </c:dLbls>
        <c:marker val="1"/>
        <c:smooth val="0"/>
        <c:axId val="337503360"/>
        <c:axId val="337504896"/>
      </c:lineChart>
      <c:catAx>
        <c:axId val="337503360"/>
        <c:scaling>
          <c:orientation val="minMax"/>
        </c:scaling>
        <c:delete val="0"/>
        <c:axPos val="b"/>
        <c:numFmt formatCode="General" sourceLinked="1"/>
        <c:majorTickMark val="out"/>
        <c:minorTickMark val="none"/>
        <c:tickLblPos val="nextTo"/>
        <c:crossAx val="337504896"/>
        <c:crosses val="autoZero"/>
        <c:auto val="1"/>
        <c:lblAlgn val="ctr"/>
        <c:lblOffset val="100"/>
        <c:noMultiLvlLbl val="0"/>
      </c:catAx>
      <c:valAx>
        <c:axId val="337504896"/>
        <c:scaling>
          <c:orientation val="minMax"/>
        </c:scaling>
        <c:delete val="0"/>
        <c:axPos val="l"/>
        <c:numFmt formatCode="0.0" sourceLinked="1"/>
        <c:majorTickMark val="out"/>
        <c:minorTickMark val="none"/>
        <c:tickLblPos val="nextTo"/>
        <c:crossAx val="337503360"/>
        <c:crosses val="autoZero"/>
        <c:crossBetween val="between"/>
        <c:minorUnit val="0.5"/>
      </c:valAx>
    </c:plotArea>
    <c:plotVisOnly val="1"/>
    <c:dispBlanksAs val="gap"/>
    <c:showDLblsOverMax val="0"/>
  </c:chart>
  <c:spPr>
    <a:ln>
      <a:noFill/>
    </a:ln>
  </c:spPr>
  <c:txPr>
    <a:bodyPr/>
    <a:lstStyle/>
    <a:p>
      <a:pPr>
        <a:defRPr>
          <a:latin typeface="Times New Roman" pitchFamily="18" charset="0"/>
          <a:cs typeface="Times New Roman" pitchFamily="18" charset="0"/>
        </a:defRPr>
      </a:pPr>
      <a:endParaRPr lang="es-G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cene3d>
              <a:camera prst="orthographicFront"/>
              <a:lightRig rig="threePt" dir="t"/>
            </a:scene3d>
            <a:sp3d>
              <a:bevelT/>
            </a:sp3d>
          </c:spPr>
          <c:explosion val="6"/>
          <c:dPt>
            <c:idx val="0"/>
            <c:bubble3D val="0"/>
            <c:spPr>
              <a:solidFill>
                <a:schemeClr val="accent1"/>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2249-401F-BEFC-FEEF69F5755A}"/>
              </c:ext>
            </c:extLst>
          </c:dPt>
          <c:dPt>
            <c:idx val="1"/>
            <c:bubble3D val="0"/>
            <c:spPr>
              <a:solidFill>
                <a:schemeClr val="accent2"/>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2249-401F-BEFC-FEEF69F5755A}"/>
              </c:ext>
            </c:extLst>
          </c:dPt>
          <c:dLbls>
            <c:dLbl>
              <c:idx val="0"/>
              <c:layout>
                <c:manualLayout>
                  <c:x val="-0.19505728798513963"/>
                  <c:y val="-0.1687110111508988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249-401F-BEFC-FEEF69F5755A}"/>
                </c:ext>
              </c:extLst>
            </c:dLbl>
            <c:dLbl>
              <c:idx val="1"/>
              <c:layout>
                <c:manualLayout>
                  <c:x val="0.2271891986862298"/>
                  <c:y val="0.10274193590185478"/>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249-401F-BEFC-FEEF69F5755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'\Users\deefoper12\Documents\Mis Documentos\2019\DEF\Informe 2018\[Cierre preliminar Sit Fin 2019.xlsx]Deuda'!$B$24:$B$25</c:f>
              <c:strCache>
                <c:ptCount val="2"/>
                <c:pt idx="0">
                  <c:v>Interna</c:v>
                </c:pt>
                <c:pt idx="1">
                  <c:v>Externa</c:v>
                </c:pt>
              </c:strCache>
            </c:strRef>
          </c:cat>
          <c:val>
            <c:numRef>
              <c:f>'\Users\deefoper12\Documents\Mis Documentos\2019\DEF\Informe 2018\[Cierre preliminar Sit Fin 2019.xlsx]Deuda'!$C$24:$C$25</c:f>
              <c:numCache>
                <c:formatCode>General</c:formatCode>
                <c:ptCount val="2"/>
                <c:pt idx="0">
                  <c:v>0.55415062787959557</c:v>
                </c:pt>
                <c:pt idx="1">
                  <c:v>0.44584937212040449</c:v>
                </c:pt>
              </c:numCache>
            </c:numRef>
          </c:val>
          <c:extLst xmlns:c16r2="http://schemas.microsoft.com/office/drawing/2015/06/chart">
            <c:ext xmlns:c16="http://schemas.microsoft.com/office/drawing/2014/chart" uri="{C3380CC4-5D6E-409C-BE32-E72D297353CC}">
              <c16:uniqueId val="{00000004-2249-401F-BEFC-FEEF69F5755A}"/>
            </c:ext>
          </c:extLst>
        </c:ser>
        <c:dLbls>
          <c:dLblPos val="inEnd"/>
          <c:showLegendKey val="0"/>
          <c:showVal val="0"/>
          <c:showCatName val="1"/>
          <c:showSerName val="0"/>
          <c:showPercent val="1"/>
          <c:showBubbleSize val="0"/>
          <c:showLeaderLines val="1"/>
        </c:dLbls>
        <c:firstSliceAng val="21"/>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cene3d>
              <a:camera prst="orthographicFront"/>
              <a:lightRig rig="threePt" dir="t"/>
            </a:scene3d>
            <a:sp3d>
              <a:bevelT/>
            </a:sp3d>
          </c:spPr>
          <c:explosion val="21"/>
          <c:dPt>
            <c:idx val="0"/>
            <c:bubble3D val="0"/>
            <c:spPr>
              <a:solidFill>
                <a:schemeClr val="accent1"/>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D6DC-4DB4-B7D8-D4B357DD0BFD}"/>
              </c:ext>
            </c:extLst>
          </c:dPt>
          <c:dPt>
            <c:idx val="1"/>
            <c:bubble3D val="0"/>
            <c:spPr>
              <a:solidFill>
                <a:schemeClr val="accent2"/>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D6DC-4DB4-B7D8-D4B357DD0BFD}"/>
              </c:ext>
            </c:extLst>
          </c:dPt>
          <c:dLbls>
            <c:dLbl>
              <c:idx val="0"/>
              <c:layout>
                <c:manualLayout>
                  <c:x val="0.20478251539312303"/>
                  <c:y val="4.6513697506561681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6DC-4DB4-B7D8-D4B357DD0BFD}"/>
                </c:ext>
              </c:extLst>
            </c:dLbl>
            <c:dLbl>
              <c:idx val="1"/>
              <c:layout>
                <c:manualLayout>
                  <c:x val="0.15061457016173532"/>
                  <c:y val="-5.1889822497020087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6DC-4DB4-B7D8-D4B357DD0BFD}"/>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'\Users\deefoper12\Documents\Mis Documentos\2019\DEF\Informe 2018\[Cierre preliminar Sit Fin 2019.xlsx]Deuda'!$B$32:$B$33</c:f>
              <c:strCache>
                <c:ptCount val="2"/>
                <c:pt idx="0">
                  <c:v>Fija</c:v>
                </c:pt>
                <c:pt idx="1">
                  <c:v>Variable</c:v>
                </c:pt>
              </c:strCache>
            </c:strRef>
          </c:cat>
          <c:val>
            <c:numRef>
              <c:f>'\Users\deefoper12\Documents\Mis Documentos\2019\DEF\Informe 2018\[Cierre preliminar Sit Fin 2019.xlsx]Deuda'!$C$32:$C$33</c:f>
              <c:numCache>
                <c:formatCode>General</c:formatCode>
                <c:ptCount val="2"/>
                <c:pt idx="0">
                  <c:v>0.7887324821589663</c:v>
                </c:pt>
                <c:pt idx="1">
                  <c:v>0.21126751784103376</c:v>
                </c:pt>
              </c:numCache>
            </c:numRef>
          </c:val>
          <c:extLst xmlns:c16r2="http://schemas.microsoft.com/office/drawing/2015/06/chart">
            <c:ext xmlns:c16="http://schemas.microsoft.com/office/drawing/2014/chart" uri="{C3380CC4-5D6E-409C-BE32-E72D297353CC}">
              <c16:uniqueId val="{00000004-D6DC-4DB4-B7D8-D4B357DD0BFD}"/>
            </c:ext>
          </c:extLst>
        </c:ser>
        <c:dLbls>
          <c:dLblPos val="inEnd"/>
          <c:showLegendKey val="0"/>
          <c:showVal val="0"/>
          <c:showCatName val="1"/>
          <c:showSerName val="0"/>
          <c:showPercent val="1"/>
          <c:showBubbleSize val="0"/>
          <c:showLeaderLines val="1"/>
        </c:dLbls>
        <c:firstSliceAng val="159"/>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cene3d>
              <a:camera prst="orthographicFront"/>
              <a:lightRig rig="threePt" dir="t"/>
            </a:scene3d>
            <a:sp3d>
              <a:bevelT/>
            </a:sp3d>
          </c:spPr>
          <c:explosion val="6"/>
          <c:dPt>
            <c:idx val="0"/>
            <c:bubble3D val="0"/>
            <c:spPr>
              <a:solidFill>
                <a:schemeClr val="accent1"/>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B25B-4A67-A4F1-CC0A78BAD72D}"/>
              </c:ext>
            </c:extLst>
          </c:dPt>
          <c:dPt>
            <c:idx val="1"/>
            <c:bubble3D val="0"/>
            <c:spPr>
              <a:solidFill>
                <a:schemeClr val="accent2"/>
              </a:solidFill>
              <a:ln w="19050">
                <a:solidFill>
                  <a:schemeClr val="lt1"/>
                </a:solid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B25B-4A67-A4F1-CC0A78BAD72D}"/>
              </c:ext>
            </c:extLst>
          </c:dPt>
          <c:dLbls>
            <c:dLbl>
              <c:idx val="0"/>
              <c:layout>
                <c:manualLayout>
                  <c:x val="-0.19964326564442603"/>
                  <c:y val="-0.11676738963586239"/>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25B-4A67-A4F1-CC0A78BAD72D}"/>
                </c:ext>
              </c:extLst>
            </c:dLbl>
            <c:dLbl>
              <c:idx val="1"/>
              <c:layout>
                <c:manualLayout>
                  <c:x val="0.22906974545867029"/>
                  <c:y val="7.7384946910045341E-2"/>
                </c:manualLayout>
              </c:layout>
              <c:numFmt formatCode="0.0%" sourceLinked="0"/>
              <c:spPr>
                <a:noFill/>
                <a:ln>
                  <a:noFill/>
                </a:ln>
                <a:effectLst/>
              </c:spPr>
              <c:txPr>
                <a:bodyPr rot="0" spcFirstLastPara="1" vertOverflow="ellipsis" vert="horz" wrap="square" lIns="38100" tIns="19050" rIns="38100" bIns="19050" anchor="ctr" anchorCtr="1">
                  <a:spAutoFit/>
                </a:bodyPr>
                <a:lstStyle/>
                <a:p>
                  <a:pPr>
                    <a:defRPr sz="78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25B-4A67-A4F1-CC0A78BAD72D}"/>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6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'\Users\deefoper12\Documents\Mis Documentos\2019\DEF\Informe 2018\[Cierre preliminar Sit Fin 2019.xlsx]Deuda'!$B$38:$B$39</c:f>
              <c:strCache>
                <c:ptCount val="2"/>
                <c:pt idx="0">
                  <c:v>Nacional</c:v>
                </c:pt>
                <c:pt idx="1">
                  <c:v>Extranjera</c:v>
                </c:pt>
              </c:strCache>
            </c:strRef>
          </c:cat>
          <c:val>
            <c:numRef>
              <c:f>'\Users\deefoper12\Documents\Mis Documentos\2019\DEF\Informe 2018\[Cierre preliminar Sit Fin 2019.xlsx]Deuda'!$C$38:$C$39</c:f>
              <c:numCache>
                <c:formatCode>General</c:formatCode>
                <c:ptCount val="2"/>
                <c:pt idx="0">
                  <c:v>0.51373333056863735</c:v>
                </c:pt>
                <c:pt idx="1">
                  <c:v>0.48626666943136276</c:v>
                </c:pt>
              </c:numCache>
            </c:numRef>
          </c:val>
          <c:extLst xmlns:c16r2="http://schemas.microsoft.com/office/drawing/2015/06/chart">
            <c:ext xmlns:c16="http://schemas.microsoft.com/office/drawing/2014/chart" uri="{C3380CC4-5D6E-409C-BE32-E72D297353CC}">
              <c16:uniqueId val="{00000004-B25B-4A67-A4F1-CC0A78BAD72D}"/>
            </c:ext>
          </c:extLst>
        </c:ser>
        <c:dLbls>
          <c:dLblPos val="inEnd"/>
          <c:showLegendKey val="0"/>
          <c:showVal val="0"/>
          <c:showCatName val="1"/>
          <c:showSerName val="0"/>
          <c:showPercent val="1"/>
          <c:showBubbleSize val="0"/>
          <c:showLeaderLines val="1"/>
        </c:dLbls>
        <c:firstSliceAng val="21"/>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scene3d>
              <a:camera prst="orthographicFront"/>
              <a:lightRig rig="threePt" dir="t"/>
            </a:scene3d>
            <a:sp3d>
              <a:bevelT/>
              <a:bevelB/>
            </a:sp3d>
          </c:spPr>
          <c:explosion val="12"/>
          <c:dPt>
            <c:idx val="0"/>
            <c:bubble3D val="0"/>
            <c:spPr>
              <a:solidFill>
                <a:schemeClr val="accent1"/>
              </a:solidFill>
              <a:ln w="19050">
                <a:solidFill>
                  <a:schemeClr val="lt1"/>
                </a:solid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1-7427-41DF-B7A5-817F9D74F0F8}"/>
              </c:ext>
            </c:extLst>
          </c:dPt>
          <c:dPt>
            <c:idx val="1"/>
            <c:bubble3D val="0"/>
            <c:spPr>
              <a:solidFill>
                <a:schemeClr val="accent2"/>
              </a:solidFill>
              <a:ln w="19050">
                <a:solidFill>
                  <a:schemeClr val="lt1"/>
                </a:solidFill>
              </a:ln>
              <a:effectLst/>
              <a:scene3d>
                <a:camera prst="orthographicFront"/>
                <a:lightRig rig="threePt" dir="t"/>
              </a:scene3d>
              <a:sp3d>
                <a:bevelT/>
                <a:bevelB/>
              </a:sp3d>
            </c:spPr>
            <c:extLst xmlns:c16r2="http://schemas.microsoft.com/office/drawing/2015/06/chart">
              <c:ext xmlns:c16="http://schemas.microsoft.com/office/drawing/2014/chart" uri="{C3380CC4-5D6E-409C-BE32-E72D297353CC}">
                <c16:uniqueId val="{00000003-7427-41DF-B7A5-817F9D74F0F8}"/>
              </c:ext>
            </c:extLst>
          </c:dPt>
          <c:dLbls>
            <c:dLbl>
              <c:idx val="0"/>
              <c:layout>
                <c:manualLayout>
                  <c:x val="6.7956884602907788E-2"/>
                  <c:y val="-0.41950189045752539"/>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427-41DF-B7A5-817F9D74F0F8}"/>
                </c:ext>
              </c:extLst>
            </c:dLbl>
            <c:dLbl>
              <c:idx val="1"/>
              <c:layout>
                <c:manualLayout>
                  <c:x val="0.20748637189582073"/>
                  <c:y val="-3.0699689061460672E-2"/>
                </c:manualLayout>
              </c:layout>
              <c:dLblPos val="bestFi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427-41DF-B7A5-817F9D74F0F8}"/>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'\Users\deefoper12\Documents\Mis Documentos\2019\DEF\Informe 2018\[Cierre preliminar Sit Fin 2019.xlsx]Deuda'!$B$45:$B$46</c:f>
              <c:strCache>
                <c:ptCount val="2"/>
                <c:pt idx="0">
                  <c:v>Préstamos</c:v>
                </c:pt>
                <c:pt idx="1">
                  <c:v>Bonos</c:v>
                </c:pt>
              </c:strCache>
            </c:strRef>
          </c:cat>
          <c:val>
            <c:numRef>
              <c:f>'\Users\deefoper12\Documents\Mis Documentos\2019\DEF\Informe 2018\[Cierre preliminar Sit Fin 2019.xlsx]Deuda'!$C$45:$C$46</c:f>
              <c:numCache>
                <c:formatCode>General</c:formatCode>
                <c:ptCount val="2"/>
                <c:pt idx="0">
                  <c:v>0.24351250025203469</c:v>
                </c:pt>
                <c:pt idx="1">
                  <c:v>0.75648749974796536</c:v>
                </c:pt>
              </c:numCache>
            </c:numRef>
          </c:val>
          <c:extLst xmlns:c16r2="http://schemas.microsoft.com/office/drawing/2015/06/chart">
            <c:ext xmlns:c16="http://schemas.microsoft.com/office/drawing/2014/chart" uri="{C3380CC4-5D6E-409C-BE32-E72D297353CC}">
              <c16:uniqueId val="{00000004-7427-41DF-B7A5-817F9D74F0F8}"/>
            </c:ext>
          </c:extLst>
        </c:ser>
        <c:dLbls>
          <c:dLblPos val="inEnd"/>
          <c:showLegendKey val="0"/>
          <c:showVal val="0"/>
          <c:showCatName val="1"/>
          <c:showSerName val="0"/>
          <c:showPercent val="1"/>
          <c:showBubbleSize val="0"/>
          <c:showLeaderLines val="1"/>
        </c:dLbls>
        <c:firstSliceAng val="57"/>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435978804293675E-2"/>
          <c:y val="1.8139020947853215E-2"/>
          <c:w val="0.88266542904444834"/>
          <c:h val="0.92120386671567778"/>
        </c:manualLayout>
      </c:layout>
      <c:barChart>
        <c:barDir val="col"/>
        <c:grouping val="clustered"/>
        <c:varyColors val="0"/>
        <c:ser>
          <c:idx val="0"/>
          <c:order val="0"/>
          <c:tx>
            <c:strRef>
              <c:f>'Series Gasto'!$E$10</c:f>
              <c:strCache>
                <c:ptCount val="1"/>
                <c:pt idx="0">
                  <c:v>% del PIB</c:v>
                </c:pt>
              </c:strCache>
            </c:strRef>
          </c:tx>
          <c:spPr>
            <a:solidFill>
              <a:schemeClr val="accent1"/>
            </a:solidFill>
            <a:scene3d>
              <a:camera prst="orthographicFront"/>
              <a:lightRig rig="threePt" dir="t"/>
            </a:scene3d>
            <a:sp3d>
              <a:bevelT/>
            </a:sp3d>
          </c:spPr>
          <c:invertIfNegative val="0"/>
          <c:dPt>
            <c:idx val="0"/>
            <c:invertIfNegative val="0"/>
            <c:bubble3D val="0"/>
            <c:extLst xmlns:c16r2="http://schemas.microsoft.com/office/drawing/2015/06/chart">
              <c:ext xmlns:c16="http://schemas.microsoft.com/office/drawing/2014/chart" uri="{C3380CC4-5D6E-409C-BE32-E72D297353CC}">
                <c16:uniqueId val="{00000000-31F8-49D4-AAEF-5F80A01E182F}"/>
              </c:ext>
            </c:extLst>
          </c:dPt>
          <c:dPt>
            <c:idx val="1"/>
            <c:invertIfNegative val="0"/>
            <c:bubble3D val="0"/>
            <c:extLst xmlns:c16r2="http://schemas.microsoft.com/office/drawing/2015/06/chart">
              <c:ext xmlns:c16="http://schemas.microsoft.com/office/drawing/2014/chart" uri="{C3380CC4-5D6E-409C-BE32-E72D297353CC}">
                <c16:uniqueId val="{00000001-31F8-49D4-AAEF-5F80A01E182F}"/>
              </c:ext>
            </c:extLst>
          </c:dPt>
          <c:dPt>
            <c:idx val="2"/>
            <c:invertIfNegative val="0"/>
            <c:bubble3D val="0"/>
            <c:extLst xmlns:c16r2="http://schemas.microsoft.com/office/drawing/2015/06/chart">
              <c:ext xmlns:c16="http://schemas.microsoft.com/office/drawing/2014/chart" uri="{C3380CC4-5D6E-409C-BE32-E72D297353CC}">
                <c16:uniqueId val="{00000002-31F8-49D4-AAEF-5F80A01E182F}"/>
              </c:ext>
            </c:extLst>
          </c:dPt>
          <c:dPt>
            <c:idx val="3"/>
            <c:invertIfNegative val="0"/>
            <c:bubble3D val="0"/>
            <c:extLst xmlns:c16r2="http://schemas.microsoft.com/office/drawing/2015/06/chart">
              <c:ext xmlns:c16="http://schemas.microsoft.com/office/drawing/2014/chart" uri="{C3380CC4-5D6E-409C-BE32-E72D297353CC}">
                <c16:uniqueId val="{00000003-31F8-49D4-AAEF-5F80A01E182F}"/>
              </c:ext>
            </c:extLst>
          </c:dPt>
          <c:dPt>
            <c:idx val="4"/>
            <c:invertIfNegative val="0"/>
            <c:bubble3D val="0"/>
            <c:extLst xmlns:c16r2="http://schemas.microsoft.com/office/drawing/2015/06/chart">
              <c:ext xmlns:c16="http://schemas.microsoft.com/office/drawing/2014/chart" uri="{C3380CC4-5D6E-409C-BE32-E72D297353CC}">
                <c16:uniqueId val="{00000004-31F8-49D4-AAEF-5F80A01E182F}"/>
              </c:ext>
            </c:extLst>
          </c:dPt>
          <c:dPt>
            <c:idx val="5"/>
            <c:invertIfNegative val="0"/>
            <c:bubble3D val="0"/>
            <c:extLst xmlns:c16r2="http://schemas.microsoft.com/office/drawing/2015/06/chart">
              <c:ext xmlns:c16="http://schemas.microsoft.com/office/drawing/2014/chart" uri="{C3380CC4-5D6E-409C-BE32-E72D297353CC}">
                <c16:uniqueId val="{00000005-31F8-49D4-AAEF-5F80A01E182F}"/>
              </c:ext>
            </c:extLst>
          </c:dPt>
          <c:dPt>
            <c:idx val="6"/>
            <c:invertIfNegative val="0"/>
            <c:bubble3D val="0"/>
            <c:extLst xmlns:c16r2="http://schemas.microsoft.com/office/drawing/2015/06/chart">
              <c:ext xmlns:c16="http://schemas.microsoft.com/office/drawing/2014/chart" uri="{C3380CC4-5D6E-409C-BE32-E72D297353CC}">
                <c16:uniqueId val="{00000006-31F8-49D4-AAEF-5F80A01E182F}"/>
              </c:ext>
            </c:extLst>
          </c:dPt>
          <c:dPt>
            <c:idx val="7"/>
            <c:invertIfNegative val="0"/>
            <c:bubble3D val="0"/>
            <c:extLst xmlns:c16r2="http://schemas.microsoft.com/office/drawing/2015/06/chart">
              <c:ext xmlns:c16="http://schemas.microsoft.com/office/drawing/2014/chart" uri="{C3380CC4-5D6E-409C-BE32-E72D297353CC}">
                <c16:uniqueId val="{00000007-31F8-49D4-AAEF-5F80A01E182F}"/>
              </c:ext>
            </c:extLst>
          </c:dPt>
          <c:dLbls>
            <c:numFmt formatCode="0.0%" sourceLinked="0"/>
            <c:spPr>
              <a:noFill/>
              <a:ln>
                <a:noFill/>
              </a:ln>
              <a:effectLst/>
            </c:spPr>
            <c:txPr>
              <a:bodyPr/>
              <a:lstStyle/>
              <a:p>
                <a:pPr>
                  <a:defRPr sz="800" b="1">
                    <a:solidFill>
                      <a:schemeClr val="bg1"/>
                    </a:solidFill>
                  </a:defRPr>
                </a:pPr>
                <a:endParaRPr lang="es-G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'Series Gasto'!$D$11:$D$22</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'Series Gasto'!$E$11:$E$22</c:f>
              <c:numCache>
                <c:formatCode>0.0%</c:formatCode>
                <c:ptCount val="12"/>
                <c:pt idx="0">
                  <c:v>0.13639502846428264</c:v>
                </c:pt>
                <c:pt idx="1">
                  <c:v>0.14192720341855256</c:v>
                </c:pt>
                <c:pt idx="2">
                  <c:v>0.14526069337537156</c:v>
                </c:pt>
                <c:pt idx="3">
                  <c:v>0.14422992892995798</c:v>
                </c:pt>
                <c:pt idx="4">
                  <c:v>0.1415068281615145</c:v>
                </c:pt>
                <c:pt idx="5">
                  <c:v>0.13994068949563765</c:v>
                </c:pt>
                <c:pt idx="6">
                  <c:v>0.13596038852332176</c:v>
                </c:pt>
                <c:pt idx="7">
                  <c:v>0.12581575364125416</c:v>
                </c:pt>
                <c:pt idx="8">
                  <c:v>0.12564906837197665</c:v>
                </c:pt>
                <c:pt idx="9">
                  <c:v>0.12795004056069251</c:v>
                </c:pt>
                <c:pt idx="10">
                  <c:v>0.13259307290900008</c:v>
                </c:pt>
                <c:pt idx="11">
                  <c:v>0.13661982128359221</c:v>
                </c:pt>
              </c:numCache>
            </c:numRef>
          </c:val>
          <c:extLst xmlns:c16r2="http://schemas.microsoft.com/office/drawing/2015/06/chart">
            <c:ext xmlns:c16="http://schemas.microsoft.com/office/drawing/2014/chart" uri="{C3380CC4-5D6E-409C-BE32-E72D297353CC}">
              <c16:uniqueId val="{00000008-31F8-49D4-AAEF-5F80A01E182F}"/>
            </c:ext>
          </c:extLst>
        </c:ser>
        <c:dLbls>
          <c:showLegendKey val="0"/>
          <c:showVal val="0"/>
          <c:showCatName val="0"/>
          <c:showSerName val="0"/>
          <c:showPercent val="0"/>
          <c:showBubbleSize val="0"/>
        </c:dLbls>
        <c:gapWidth val="25"/>
        <c:axId val="334998912"/>
        <c:axId val="337380480"/>
      </c:barChart>
      <c:catAx>
        <c:axId val="334998912"/>
        <c:scaling>
          <c:orientation val="minMax"/>
        </c:scaling>
        <c:delete val="0"/>
        <c:axPos val="b"/>
        <c:numFmt formatCode="General" sourceLinked="1"/>
        <c:majorTickMark val="out"/>
        <c:minorTickMark val="none"/>
        <c:tickLblPos val="nextTo"/>
        <c:crossAx val="337380480"/>
        <c:crosses val="autoZero"/>
        <c:auto val="1"/>
        <c:lblAlgn val="ctr"/>
        <c:lblOffset val="100"/>
        <c:noMultiLvlLbl val="0"/>
      </c:catAx>
      <c:valAx>
        <c:axId val="337380480"/>
        <c:scaling>
          <c:orientation val="minMax"/>
        </c:scaling>
        <c:delete val="0"/>
        <c:axPos val="l"/>
        <c:numFmt formatCode="0.0%" sourceLinked="1"/>
        <c:majorTickMark val="out"/>
        <c:minorTickMark val="none"/>
        <c:tickLblPos val="nextTo"/>
        <c:crossAx val="334998912"/>
        <c:crosses val="autoZero"/>
        <c:crossBetween val="between"/>
      </c:valAx>
    </c:plotArea>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435995279069247E-2"/>
          <c:y val="1.8704544215371155E-2"/>
          <c:w val="0.88266540813202066"/>
          <c:h val="0.82953826431213074"/>
        </c:manualLayout>
      </c:layout>
      <c:barChart>
        <c:barDir val="col"/>
        <c:grouping val="clustered"/>
        <c:varyColors val="0"/>
        <c:ser>
          <c:idx val="0"/>
          <c:order val="0"/>
          <c:tx>
            <c:strRef>
              <c:f>'Series Gasto'!$D$31</c:f>
              <c:strCache>
                <c:ptCount val="1"/>
                <c:pt idx="0">
                  <c:v>% de Ejec</c:v>
                </c:pt>
              </c:strCache>
            </c:strRef>
          </c:tx>
          <c:spPr>
            <a:solidFill>
              <a:schemeClr val="accent1"/>
            </a:solidFill>
            <a:scene3d>
              <a:camera prst="orthographicFront"/>
              <a:lightRig rig="threePt" dir="t"/>
            </a:scene3d>
            <a:sp3d>
              <a:bevelT/>
            </a:sp3d>
          </c:spPr>
          <c:invertIfNegative val="0"/>
          <c:dPt>
            <c:idx val="0"/>
            <c:invertIfNegative val="0"/>
            <c:bubble3D val="0"/>
            <c:extLst xmlns:c16r2="http://schemas.microsoft.com/office/drawing/2015/06/chart">
              <c:ext xmlns:c16="http://schemas.microsoft.com/office/drawing/2014/chart" uri="{C3380CC4-5D6E-409C-BE32-E72D297353CC}">
                <c16:uniqueId val="{00000000-8D6C-4D20-AC42-49A20E3A84BC}"/>
              </c:ext>
            </c:extLst>
          </c:dPt>
          <c:dPt>
            <c:idx val="1"/>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2-8D6C-4D20-AC42-49A20E3A84BC}"/>
              </c:ext>
            </c:extLst>
          </c:dPt>
          <c:dPt>
            <c:idx val="2"/>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4-8D6C-4D20-AC42-49A20E3A84BC}"/>
              </c:ext>
            </c:extLst>
          </c:dPt>
          <c:dPt>
            <c:idx val="3"/>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6-8D6C-4D20-AC42-49A20E3A84BC}"/>
              </c:ext>
            </c:extLst>
          </c:dPt>
          <c:dPt>
            <c:idx val="8"/>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8-8D6C-4D20-AC42-49A20E3A84BC}"/>
              </c:ext>
            </c:extLst>
          </c:dPt>
          <c:dPt>
            <c:idx val="9"/>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A-8D6C-4D20-AC42-49A20E3A84BC}"/>
              </c:ext>
            </c:extLst>
          </c:dPt>
          <c:dPt>
            <c:idx val="10"/>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C-8D6C-4D20-AC42-49A20E3A84BC}"/>
              </c:ext>
            </c:extLst>
          </c:dPt>
          <c:dLbls>
            <c:numFmt formatCode="0.0%" sourceLinked="0"/>
            <c:spPr>
              <a:noFill/>
              <a:ln>
                <a:noFill/>
              </a:ln>
              <a:effectLst/>
            </c:spPr>
            <c:txPr>
              <a:bodyPr/>
              <a:lstStyle/>
              <a:p>
                <a:pPr>
                  <a:defRPr sz="800" b="1">
                    <a:solidFill>
                      <a:schemeClr val="bg1"/>
                    </a:solidFill>
                  </a:defRPr>
                </a:pPr>
                <a:endParaRPr lang="es-G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'Series Gasto'!$B$32:$B$43</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'Series Gasto'!$D$32:$D$43</c:f>
              <c:numCache>
                <c:formatCode>0.0%</c:formatCode>
                <c:ptCount val="12"/>
                <c:pt idx="0">
                  <c:v>0.97100400013480181</c:v>
                </c:pt>
                <c:pt idx="1">
                  <c:v>0.91670054123711997</c:v>
                </c:pt>
                <c:pt idx="2">
                  <c:v>0.92913056812002626</c:v>
                </c:pt>
                <c:pt idx="3">
                  <c:v>0.93989184934042602</c:v>
                </c:pt>
                <c:pt idx="4">
                  <c:v>0.96127386255162028</c:v>
                </c:pt>
                <c:pt idx="5">
                  <c:v>0.90368701970863785</c:v>
                </c:pt>
                <c:pt idx="6">
                  <c:v>0.91946188193788991</c:v>
                </c:pt>
                <c:pt idx="7">
                  <c:v>0.88382828330416796</c:v>
                </c:pt>
                <c:pt idx="8">
                  <c:v>0.92079526198855721</c:v>
                </c:pt>
                <c:pt idx="9">
                  <c:v>0.9174855765156813</c:v>
                </c:pt>
                <c:pt idx="10">
                  <c:v>0.96030535561856489</c:v>
                </c:pt>
                <c:pt idx="11">
                  <c:v>0.93786344124794574</c:v>
                </c:pt>
              </c:numCache>
            </c:numRef>
          </c:val>
          <c:extLst xmlns:c16r2="http://schemas.microsoft.com/office/drawing/2015/06/chart">
            <c:ext xmlns:c16="http://schemas.microsoft.com/office/drawing/2014/chart" uri="{C3380CC4-5D6E-409C-BE32-E72D297353CC}">
              <c16:uniqueId val="{0000000D-8D6C-4D20-AC42-49A20E3A84BC}"/>
            </c:ext>
          </c:extLst>
        </c:ser>
        <c:dLbls>
          <c:showLegendKey val="0"/>
          <c:showVal val="0"/>
          <c:showCatName val="0"/>
          <c:showSerName val="0"/>
          <c:showPercent val="0"/>
          <c:showBubbleSize val="0"/>
        </c:dLbls>
        <c:gapWidth val="17"/>
        <c:overlap val="-25"/>
        <c:axId val="345548672"/>
        <c:axId val="345550208"/>
      </c:barChart>
      <c:lineChart>
        <c:grouping val="standard"/>
        <c:varyColors val="0"/>
        <c:ser>
          <c:idx val="1"/>
          <c:order val="1"/>
          <c:tx>
            <c:strRef>
              <c:f>'Series Gasto'!$E$31</c:f>
              <c:strCache>
                <c:ptCount val="1"/>
                <c:pt idx="0">
                  <c:v>Promedio</c:v>
                </c:pt>
              </c:strCache>
            </c:strRef>
          </c:tx>
          <c:marker>
            <c:symbol val="none"/>
          </c:marke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8D6C-4D20-AC42-49A20E3A84BC}"/>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8D6C-4D20-AC42-49A20E3A84BC}"/>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8D6C-4D20-AC42-49A20E3A84BC}"/>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8D6C-4D20-AC42-49A20E3A84BC}"/>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8D6C-4D20-AC42-49A20E3A84BC}"/>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8D6C-4D20-AC42-49A20E3A84BC}"/>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8D6C-4D20-AC42-49A20E3A84BC}"/>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8D6C-4D20-AC42-49A20E3A84BC}"/>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8D6C-4D20-AC42-49A20E3A84BC}"/>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8D6C-4D20-AC42-49A20E3A84BC}"/>
                </c:ext>
              </c:extLst>
            </c:dLbl>
            <c:dLbl>
              <c:idx val="10"/>
              <c:layout>
                <c:manualLayout>
                  <c:x val="-0.29723327935369881"/>
                  <c:y val="-4.2385114287315499E-2"/>
                </c:manualLayout>
              </c:layout>
              <c:tx>
                <c:rich>
                  <a:bodyPr wrap="square" lIns="38100" tIns="19050" rIns="38100" bIns="19050" anchor="ctr">
                    <a:spAutoFit/>
                  </a:bodyPr>
                  <a:lstStyle/>
                  <a:p>
                    <a:pPr>
                      <a:defRPr sz="900" b="1">
                        <a:solidFill>
                          <a:srgbClr val="FF0000"/>
                        </a:solidFill>
                      </a:defRPr>
                    </a:pPr>
                    <a:r>
                      <a:rPr lang="en-US" sz="900" b="1"/>
                      <a:t>Promedio</a:t>
                    </a:r>
                  </a:p>
                  <a:p>
                    <a:pPr>
                      <a:defRPr sz="900" b="1">
                        <a:solidFill>
                          <a:srgbClr val="FF0000"/>
                        </a:solidFill>
                      </a:defRPr>
                    </a:pPr>
                    <a:r>
                      <a:rPr lang="en-US" sz="900" b="1"/>
                      <a:t>93.0%</a:t>
                    </a:r>
                    <a:endParaRPr lang="en-US"/>
                  </a:p>
                </c:rich>
              </c:tx>
              <c:numFmt formatCode="0.0%" sourceLinked="0"/>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8D6C-4D20-AC42-49A20E3A84BC}"/>
                </c:ext>
              </c:extLst>
            </c:dLbl>
            <c:dLbl>
              <c:idx val="1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8D6C-4D20-AC42-49A20E3A84BC}"/>
                </c:ext>
              </c:extLst>
            </c:dLbl>
            <c:numFmt formatCode="0.0%" sourceLinked="0"/>
            <c:spPr>
              <a:noFill/>
              <a:ln>
                <a:noFill/>
              </a:ln>
              <a:effectLst/>
            </c:spPr>
            <c:txPr>
              <a:bodyPr/>
              <a:lstStyle/>
              <a:p>
                <a:pPr>
                  <a:defRPr sz="900" b="1"/>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'Series Gasto'!$B$32:$B$43</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'Series Gasto'!$E$32:$E$43</c:f>
              <c:numCache>
                <c:formatCode>0.0%</c:formatCode>
                <c:ptCount val="12"/>
                <c:pt idx="0">
                  <c:v>0.93011897014211986</c:v>
                </c:pt>
                <c:pt idx="1">
                  <c:v>0.93011897014211986</c:v>
                </c:pt>
                <c:pt idx="2">
                  <c:v>0.93011897014211986</c:v>
                </c:pt>
                <c:pt idx="3">
                  <c:v>0.93011897014211986</c:v>
                </c:pt>
                <c:pt idx="4">
                  <c:v>0.93011897014211986</c:v>
                </c:pt>
                <c:pt idx="5">
                  <c:v>0.93011897014211986</c:v>
                </c:pt>
                <c:pt idx="6">
                  <c:v>0.93011897014211986</c:v>
                </c:pt>
                <c:pt idx="7">
                  <c:v>0.93011897014211986</c:v>
                </c:pt>
                <c:pt idx="8">
                  <c:v>0.93011897014211986</c:v>
                </c:pt>
                <c:pt idx="9">
                  <c:v>0.93011897014211986</c:v>
                </c:pt>
                <c:pt idx="10">
                  <c:v>0.93011897014211986</c:v>
                </c:pt>
                <c:pt idx="11">
                  <c:v>0.93011897014211986</c:v>
                </c:pt>
              </c:numCache>
            </c:numRef>
          </c:val>
          <c:smooth val="0"/>
          <c:extLst xmlns:c16r2="http://schemas.microsoft.com/office/drawing/2015/06/chart">
            <c:ext xmlns:c16="http://schemas.microsoft.com/office/drawing/2014/chart" uri="{C3380CC4-5D6E-409C-BE32-E72D297353CC}">
              <c16:uniqueId val="{0000001A-8D6C-4D20-AC42-49A20E3A84BC}"/>
            </c:ext>
          </c:extLst>
        </c:ser>
        <c:dLbls>
          <c:showLegendKey val="0"/>
          <c:showVal val="0"/>
          <c:showCatName val="0"/>
          <c:showSerName val="0"/>
          <c:showPercent val="0"/>
          <c:showBubbleSize val="0"/>
        </c:dLbls>
        <c:marker val="1"/>
        <c:smooth val="0"/>
        <c:axId val="345548672"/>
        <c:axId val="345550208"/>
      </c:lineChart>
      <c:catAx>
        <c:axId val="345548672"/>
        <c:scaling>
          <c:orientation val="minMax"/>
        </c:scaling>
        <c:delete val="0"/>
        <c:axPos val="b"/>
        <c:numFmt formatCode="General" sourceLinked="1"/>
        <c:majorTickMark val="none"/>
        <c:minorTickMark val="none"/>
        <c:tickLblPos val="nextTo"/>
        <c:crossAx val="345550208"/>
        <c:crosses val="autoZero"/>
        <c:auto val="1"/>
        <c:lblAlgn val="ctr"/>
        <c:lblOffset val="100"/>
        <c:noMultiLvlLbl val="0"/>
      </c:catAx>
      <c:valAx>
        <c:axId val="345550208"/>
        <c:scaling>
          <c:orientation val="minMax"/>
        </c:scaling>
        <c:delete val="0"/>
        <c:axPos val="l"/>
        <c:numFmt formatCode="0.0%" sourceLinked="1"/>
        <c:majorTickMark val="none"/>
        <c:minorTickMark val="none"/>
        <c:tickLblPos val="nextTo"/>
        <c:spPr>
          <a:ln w="9525">
            <a:noFill/>
          </a:ln>
        </c:spPr>
        <c:crossAx val="345548672"/>
        <c:crosses val="autoZero"/>
        <c:crossBetween val="between"/>
      </c:valAx>
    </c:plotArea>
    <c:legend>
      <c:legendPos val="b"/>
      <c:layout>
        <c:manualLayout>
          <c:xMode val="edge"/>
          <c:yMode val="edge"/>
          <c:x val="0.20018008261985279"/>
          <c:y val="0.9236238305066814"/>
          <c:w val="0.60166309079807045"/>
          <c:h val="5.642086727524228E-2"/>
        </c:manualLayout>
      </c:layout>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Hoja1!$E$9</c:f>
              <c:strCache>
                <c:ptCount val="1"/>
                <c:pt idx="0">
                  <c:v>% PIB</c:v>
                </c:pt>
              </c:strCache>
            </c:strRef>
          </c:tx>
          <c:spPr>
            <a:ln w="38100" cap="rnd">
              <a:solidFill>
                <a:schemeClr val="accent1"/>
              </a:solidFill>
              <a:round/>
            </a:ln>
            <a:effectLst/>
          </c:spPr>
          <c:marker>
            <c:symbol val="none"/>
          </c:marker>
          <c:dLbls>
            <c:dLbl>
              <c:idx val="2"/>
              <c:layout>
                <c:manualLayout>
                  <c:x val="-2.4652388976647642E-2"/>
                  <c:y val="2.8752828310254407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BBA-4D7B-886D-E214B11806E6}"/>
                </c:ext>
              </c:extLst>
            </c:dLbl>
            <c:dLbl>
              <c:idx val="4"/>
              <c:layout>
                <c:manualLayout>
                  <c:x val="-2.0351313222285856E-2"/>
                  <c:y val="3.10516788849668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BBA-4D7B-886D-E214B11806E6}"/>
                </c:ext>
              </c:extLst>
            </c:dLbl>
            <c:dLbl>
              <c:idx val="7"/>
              <c:layout>
                <c:manualLayout>
                  <c:x val="-2.1785005140406471E-2"/>
                  <c:y val="2.64539777355416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BBA-4D7B-886D-E214B11806E6}"/>
                </c:ext>
              </c:extLst>
            </c:dLbl>
            <c:dLbl>
              <c:idx val="8"/>
              <c:layout>
                <c:manualLayout>
                  <c:x val="-1.318285363168274E-2"/>
                  <c:y val="1.955742601140366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BBA-4D7B-886D-E214B11806E6}"/>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Times New Roman" pitchFamily="18" charset="0"/>
                    <a:ea typeface="+mn-ea"/>
                    <a:cs typeface="Times New Roman" pitchFamily="18" charset="0"/>
                  </a:defRPr>
                </a:pPr>
                <a:endParaRPr lang="es-GT"/>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Hoja1!$D$10:$D$29</c:f>
              <c:strCach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strCache>
            </c:strRef>
          </c:cat>
          <c:val>
            <c:numRef>
              <c:f>Hoja1!$E$10:$E$29</c:f>
              <c:numCache>
                <c:formatCode>#,##0.0_ ;\-#,##0.0\ </c:formatCode>
                <c:ptCount val="20"/>
                <c:pt idx="0">
                  <c:v>1.9789459039553314</c:v>
                </c:pt>
                <c:pt idx="1">
                  <c:v>2.1125357366352451</c:v>
                </c:pt>
                <c:pt idx="2">
                  <c:v>1.0889827367574423</c:v>
                </c:pt>
                <c:pt idx="3">
                  <c:v>2.599722936979763</c:v>
                </c:pt>
                <c:pt idx="4">
                  <c:v>1.0922383972493204</c:v>
                </c:pt>
                <c:pt idx="5">
                  <c:v>1.7300494480739066</c:v>
                </c:pt>
                <c:pt idx="6">
                  <c:v>1.9453996643390661</c:v>
                </c:pt>
                <c:pt idx="7">
                  <c:v>1.4408726323224932</c:v>
                </c:pt>
                <c:pt idx="8">
                  <c:v>1.6146862745212056</c:v>
                </c:pt>
                <c:pt idx="9">
                  <c:v>3.1404977281335045</c:v>
                </c:pt>
                <c:pt idx="10">
                  <c:v>3.2904471138755662</c:v>
                </c:pt>
                <c:pt idx="11">
                  <c:v>2.7915526742452275</c:v>
                </c:pt>
                <c:pt idx="12">
                  <c:v>2.3930063677996953</c:v>
                </c:pt>
                <c:pt idx="13">
                  <c:v>2.1294813938388226</c:v>
                </c:pt>
                <c:pt idx="14">
                  <c:v>1.8928195397121206</c:v>
                </c:pt>
                <c:pt idx="15">
                  <c:v>1.4355845868508434</c:v>
                </c:pt>
                <c:pt idx="16">
                  <c:v>1.0678941624017475</c:v>
                </c:pt>
                <c:pt idx="17">
                  <c:v>1.38607235605683</c:v>
                </c:pt>
                <c:pt idx="18">
                  <c:v>1.8907930947510259</c:v>
                </c:pt>
                <c:pt idx="19">
                  <c:v>2.2749922550872781</c:v>
                </c:pt>
              </c:numCache>
            </c:numRef>
          </c:val>
          <c:smooth val="0"/>
          <c:extLst xmlns:c16r2="http://schemas.microsoft.com/office/drawing/2015/06/chart">
            <c:ext xmlns:c16="http://schemas.microsoft.com/office/drawing/2014/chart" uri="{C3380CC4-5D6E-409C-BE32-E72D297353CC}">
              <c16:uniqueId val="{00000004-FBBA-4D7B-886D-E214B11806E6}"/>
            </c:ext>
          </c:extLst>
        </c:ser>
        <c:ser>
          <c:idx val="1"/>
          <c:order val="1"/>
          <c:tx>
            <c:strRef>
              <c:f>Hoja1!$F$9</c:f>
              <c:strCache>
                <c:ptCount val="1"/>
                <c:pt idx="0">
                  <c:v>Promedio</c:v>
                </c:pt>
              </c:strCache>
            </c:strRef>
          </c:tx>
          <c:spPr>
            <a:ln w="28575" cap="rnd">
              <a:solidFill>
                <a:srgbClr val="FF0000"/>
              </a:solidFill>
              <a:round/>
            </a:ln>
            <a:effectLst/>
          </c:spPr>
          <c:marker>
            <c:symbol val="none"/>
          </c:marke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BBA-4D7B-886D-E214B11806E6}"/>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BBA-4D7B-886D-E214B11806E6}"/>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BBA-4D7B-886D-E214B11806E6}"/>
                </c:ext>
              </c:extLst>
            </c:dLbl>
            <c:dLbl>
              <c:idx val="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BBA-4D7B-886D-E214B11806E6}"/>
                </c:ext>
              </c:extLst>
            </c:dLbl>
            <c:dLbl>
              <c:idx val="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BBA-4D7B-886D-E214B11806E6}"/>
                </c:ext>
              </c:extLst>
            </c:dLbl>
            <c:dLbl>
              <c:idx val="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BBA-4D7B-886D-E214B11806E6}"/>
                </c:ext>
              </c:extLst>
            </c:dLbl>
            <c:dLbl>
              <c:idx val="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FBBA-4D7B-886D-E214B11806E6}"/>
                </c:ext>
              </c:extLst>
            </c:dLbl>
            <c:dLbl>
              <c:idx val="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BBA-4D7B-886D-E214B11806E6}"/>
                </c:ext>
              </c:extLst>
            </c:dLbl>
            <c:dLbl>
              <c:idx val="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BBA-4D7B-886D-E214B11806E6}"/>
                </c:ext>
              </c:extLst>
            </c:dLbl>
            <c:dLbl>
              <c:idx val="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FBBA-4D7B-886D-E214B11806E6}"/>
                </c:ext>
              </c:extLst>
            </c:dLbl>
            <c:dLbl>
              <c:idx val="1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FBBA-4D7B-886D-E214B11806E6}"/>
                </c:ext>
              </c:extLst>
            </c:dLbl>
            <c:dLbl>
              <c:idx val="11"/>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FF0000"/>
                      </a:solidFill>
                      <a:latin typeface="+mn-lt"/>
                      <a:ea typeface="+mn-ea"/>
                      <a:cs typeface="+mn-cs"/>
                    </a:defRPr>
                  </a:pPr>
                  <a:endParaRPr lang="es-GT"/>
                </a:p>
              </c:txPr>
              <c:dLblPos val="t"/>
              <c:showLegendKey val="0"/>
              <c:showVal val="1"/>
              <c:showCatName val="0"/>
              <c:showSerName val="1"/>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FBBA-4D7B-886D-E214B11806E6}"/>
                </c:ext>
              </c:extLst>
            </c:dLbl>
            <c:dLbl>
              <c:idx val="1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FBBA-4D7B-886D-E214B11806E6}"/>
                </c:ext>
              </c:extLst>
            </c:dLbl>
            <c:dLbl>
              <c:idx val="13"/>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FBBA-4D7B-886D-E214B11806E6}"/>
                </c:ext>
              </c:extLst>
            </c:dLbl>
            <c:dLbl>
              <c:idx val="14"/>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FBBA-4D7B-886D-E214B11806E6}"/>
                </c:ext>
              </c:extLst>
            </c:dLbl>
            <c:dLbl>
              <c:idx val="15"/>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FBBA-4D7B-886D-E214B11806E6}"/>
                </c:ext>
              </c:extLst>
            </c:dLbl>
            <c:dLbl>
              <c:idx val="16"/>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FBBA-4D7B-886D-E214B11806E6}"/>
                </c:ext>
              </c:extLst>
            </c:dLbl>
            <c:dLbl>
              <c:idx val="17"/>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FBBA-4D7B-886D-E214B11806E6}"/>
                </c:ext>
              </c:extLst>
            </c:dLbl>
            <c:dLbl>
              <c:idx val="18"/>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FBBA-4D7B-886D-E214B11806E6}"/>
                </c:ext>
              </c:extLst>
            </c:dLbl>
            <c:dLbl>
              <c:idx val="19"/>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FBBA-4D7B-886D-E214B11806E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GT"/>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Hoja1!$D$10:$D$29</c:f>
              <c:strCach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strCache>
            </c:strRef>
          </c:cat>
          <c:val>
            <c:numRef>
              <c:f>Hoja1!$F$10:$F$29</c:f>
              <c:numCache>
                <c:formatCode>#,##0.0_ ;\-#,##0.0\ </c:formatCode>
                <c:ptCount val="20"/>
                <c:pt idx="0">
                  <c:v>1.9648287501793216</c:v>
                </c:pt>
                <c:pt idx="1">
                  <c:v>1.9648287501793216</c:v>
                </c:pt>
                <c:pt idx="2">
                  <c:v>1.9648287501793216</c:v>
                </c:pt>
                <c:pt idx="3">
                  <c:v>1.9648287501793216</c:v>
                </c:pt>
                <c:pt idx="4">
                  <c:v>1.9648287501793216</c:v>
                </c:pt>
                <c:pt idx="5">
                  <c:v>1.9648287501793216</c:v>
                </c:pt>
                <c:pt idx="6">
                  <c:v>1.9648287501793216</c:v>
                </c:pt>
                <c:pt idx="7">
                  <c:v>1.9648287501793216</c:v>
                </c:pt>
                <c:pt idx="8">
                  <c:v>1.9648287501793216</c:v>
                </c:pt>
                <c:pt idx="9">
                  <c:v>1.9648287501793216</c:v>
                </c:pt>
                <c:pt idx="10">
                  <c:v>1.9648287501793216</c:v>
                </c:pt>
                <c:pt idx="11">
                  <c:v>1.9648287501793216</c:v>
                </c:pt>
                <c:pt idx="12">
                  <c:v>1.9648287501793216</c:v>
                </c:pt>
                <c:pt idx="13">
                  <c:v>1.9648287501793216</c:v>
                </c:pt>
                <c:pt idx="14">
                  <c:v>1.9648287501793216</c:v>
                </c:pt>
                <c:pt idx="15">
                  <c:v>1.9648287501793216</c:v>
                </c:pt>
                <c:pt idx="16">
                  <c:v>1.9648287501793216</c:v>
                </c:pt>
                <c:pt idx="17">
                  <c:v>1.9648287501793216</c:v>
                </c:pt>
                <c:pt idx="18">
                  <c:v>1.9648287501793216</c:v>
                </c:pt>
                <c:pt idx="19">
                  <c:v>1.9648287501793216</c:v>
                </c:pt>
              </c:numCache>
            </c:numRef>
          </c:val>
          <c:smooth val="0"/>
          <c:extLst xmlns:c16r2="http://schemas.microsoft.com/office/drawing/2015/06/chart">
            <c:ext xmlns:c16="http://schemas.microsoft.com/office/drawing/2014/chart" uri="{C3380CC4-5D6E-409C-BE32-E72D297353CC}">
              <c16:uniqueId val="{00000019-FBBA-4D7B-886D-E214B11806E6}"/>
            </c:ext>
          </c:extLst>
        </c:ser>
        <c:dLbls>
          <c:showLegendKey val="0"/>
          <c:showVal val="0"/>
          <c:showCatName val="0"/>
          <c:showSerName val="0"/>
          <c:showPercent val="0"/>
          <c:showBubbleSize val="0"/>
        </c:dLbls>
        <c:marker val="1"/>
        <c:smooth val="0"/>
        <c:axId val="345744128"/>
        <c:axId val="345745664"/>
      </c:lineChart>
      <c:catAx>
        <c:axId val="34574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GT"/>
          </a:p>
        </c:txPr>
        <c:crossAx val="345745664"/>
        <c:crosses val="autoZero"/>
        <c:auto val="1"/>
        <c:lblAlgn val="ctr"/>
        <c:lblOffset val="100"/>
        <c:noMultiLvlLbl val="0"/>
      </c:catAx>
      <c:valAx>
        <c:axId val="345745664"/>
        <c:scaling>
          <c:orientation val="minMax"/>
        </c:scaling>
        <c:delete val="0"/>
        <c:axPos val="l"/>
        <c:numFmt formatCode="#,##0.0_ ;\-#,##0.0\ "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s-GT"/>
          </a:p>
        </c:txPr>
        <c:crossAx val="345744128"/>
        <c:crosses val="autoZero"/>
        <c:crossBetween val="between"/>
      </c:valAx>
      <c:spPr>
        <a:noFill/>
        <a:ln>
          <a:noFill/>
        </a:ln>
        <a:effectLst/>
      </c:spPr>
    </c:plotArea>
    <c:legend>
      <c:legendPos val="b"/>
      <c:layout>
        <c:manualLayout>
          <c:xMode val="edge"/>
          <c:yMode val="edge"/>
          <c:x val="0.1346286900985571"/>
          <c:y val="0.91691683361145548"/>
          <c:w val="0.71673738200792125"/>
          <c:h val="6.129097296995851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013940474421839E-2"/>
          <c:y val="4.1198501872659173E-2"/>
          <c:w val="0.93097348090922594"/>
          <c:h val="0.91571647645167953"/>
        </c:manualLayout>
      </c:layout>
      <c:lineChart>
        <c:grouping val="standard"/>
        <c:varyColors val="0"/>
        <c:ser>
          <c:idx val="0"/>
          <c:order val="0"/>
          <c:tx>
            <c:strRef>
              <c:f>ICAE!$B$3</c:f>
              <c:strCache>
                <c:ptCount val="1"/>
              </c:strCache>
            </c:strRef>
          </c:tx>
          <c:marker>
            <c:symbol val="none"/>
          </c:marker>
          <c:dLbls>
            <c:dLbl>
              <c:idx val="47"/>
              <c:layout>
                <c:manualLayout>
                  <c:x val="0"/>
                  <c:y val="-4.8629531388152097E-2"/>
                </c:manualLayout>
              </c:layout>
              <c:tx>
                <c:rich>
                  <a:bodyPr/>
                  <a:lstStyle/>
                  <a:p>
                    <a:pPr>
                      <a:defRPr sz="800" b="0"/>
                    </a:pPr>
                    <a:r>
                      <a:rPr lang="en-US" sz="800" b="0"/>
                      <a:t>59.27</a:t>
                    </a:r>
                    <a:endParaRPr lang="en-US" sz="900" b="0"/>
                  </a:p>
                </c:rich>
              </c:tx>
              <c:spPr>
                <a:noFill/>
                <a:ln>
                  <a:noFill/>
                </a:ln>
                <a:effectLst/>
              </c:sp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166-444C-BE1C-A5BC07201E4E}"/>
                </c:ext>
              </c:extLst>
            </c:dLbl>
            <c:spPr>
              <a:noFill/>
              <a:ln>
                <a:noFill/>
              </a:ln>
              <a:effectLst/>
            </c:spPr>
            <c:txPr>
              <a:bodyPr/>
              <a:lstStyle/>
              <a:p>
                <a:pPr>
                  <a:defRPr sz="800"/>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ICAE!$A$16:$A$63</c:f>
              <c:numCache>
                <c:formatCode>mmm\-yy</c:formatCode>
                <c:ptCount val="48"/>
                <c:pt idx="0">
                  <c:v>42370</c:v>
                </c:pt>
                <c:pt idx="1">
                  <c:v>42401</c:v>
                </c:pt>
                <c:pt idx="2">
                  <c:v>42430</c:v>
                </c:pt>
                <c:pt idx="3">
                  <c:v>42461</c:v>
                </c:pt>
                <c:pt idx="4">
                  <c:v>42491</c:v>
                </c:pt>
                <c:pt idx="5">
                  <c:v>42522</c:v>
                </c:pt>
                <c:pt idx="6">
                  <c:v>42552</c:v>
                </c:pt>
                <c:pt idx="7">
                  <c:v>42583</c:v>
                </c:pt>
                <c:pt idx="8">
                  <c:v>42614</c:v>
                </c:pt>
                <c:pt idx="9">
                  <c:v>42644</c:v>
                </c:pt>
                <c:pt idx="10">
                  <c:v>42675</c:v>
                </c:pt>
                <c:pt idx="11">
                  <c:v>42705</c:v>
                </c:pt>
                <c:pt idx="12">
                  <c:v>42736</c:v>
                </c:pt>
                <c:pt idx="13">
                  <c:v>42767</c:v>
                </c:pt>
                <c:pt idx="14">
                  <c:v>42795</c:v>
                </c:pt>
                <c:pt idx="15">
                  <c:v>42826</c:v>
                </c:pt>
                <c:pt idx="16">
                  <c:v>42856</c:v>
                </c:pt>
                <c:pt idx="17">
                  <c:v>42887</c:v>
                </c:pt>
                <c:pt idx="18">
                  <c:v>42917</c:v>
                </c:pt>
                <c:pt idx="19">
                  <c:v>42948</c:v>
                </c:pt>
                <c:pt idx="20">
                  <c:v>42979</c:v>
                </c:pt>
                <c:pt idx="21">
                  <c:v>43009</c:v>
                </c:pt>
                <c:pt idx="22">
                  <c:v>43040</c:v>
                </c:pt>
                <c:pt idx="23">
                  <c:v>43070</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numCache>
            </c:numRef>
          </c:cat>
          <c:val>
            <c:numRef>
              <c:f>ICAE!$B$16:$B$63</c:f>
              <c:numCache>
                <c:formatCode>0.0</c:formatCode>
                <c:ptCount val="48"/>
                <c:pt idx="0">
                  <c:v>67</c:v>
                </c:pt>
                <c:pt idx="1">
                  <c:v>60.7</c:v>
                </c:pt>
                <c:pt idx="2">
                  <c:v>61.5</c:v>
                </c:pt>
                <c:pt idx="3">
                  <c:v>62.5</c:v>
                </c:pt>
                <c:pt idx="4">
                  <c:v>61.7</c:v>
                </c:pt>
                <c:pt idx="5">
                  <c:v>50.9</c:v>
                </c:pt>
                <c:pt idx="6">
                  <c:v>45</c:v>
                </c:pt>
                <c:pt idx="7">
                  <c:v>37.5</c:v>
                </c:pt>
                <c:pt idx="8">
                  <c:v>38.9</c:v>
                </c:pt>
                <c:pt idx="9">
                  <c:v>45.1</c:v>
                </c:pt>
                <c:pt idx="10">
                  <c:v>43.5</c:v>
                </c:pt>
                <c:pt idx="11">
                  <c:v>57</c:v>
                </c:pt>
                <c:pt idx="12">
                  <c:v>58.04</c:v>
                </c:pt>
                <c:pt idx="13">
                  <c:v>55</c:v>
                </c:pt>
                <c:pt idx="14">
                  <c:v>50</c:v>
                </c:pt>
                <c:pt idx="15">
                  <c:v>54.17</c:v>
                </c:pt>
                <c:pt idx="16">
                  <c:v>53.58</c:v>
                </c:pt>
                <c:pt idx="17">
                  <c:v>50</c:v>
                </c:pt>
                <c:pt idx="18">
                  <c:v>46.67</c:v>
                </c:pt>
                <c:pt idx="19">
                  <c:v>44.45</c:v>
                </c:pt>
                <c:pt idx="20">
                  <c:v>25</c:v>
                </c:pt>
                <c:pt idx="21">
                  <c:v>20.84</c:v>
                </c:pt>
                <c:pt idx="22">
                  <c:v>30.15</c:v>
                </c:pt>
                <c:pt idx="23">
                  <c:v>33.340000000000003</c:v>
                </c:pt>
                <c:pt idx="24" formatCode="General">
                  <c:v>49.22</c:v>
                </c:pt>
                <c:pt idx="25" formatCode="General">
                  <c:v>46.83</c:v>
                </c:pt>
                <c:pt idx="26" formatCode="General">
                  <c:v>47.31</c:v>
                </c:pt>
                <c:pt idx="27" formatCode="General">
                  <c:v>42.88</c:v>
                </c:pt>
                <c:pt idx="28" formatCode="General">
                  <c:v>41.25</c:v>
                </c:pt>
                <c:pt idx="29" formatCode="General">
                  <c:v>44.28</c:v>
                </c:pt>
                <c:pt idx="30" formatCode="General">
                  <c:v>39.58</c:v>
                </c:pt>
                <c:pt idx="31" formatCode="General">
                  <c:v>44.17</c:v>
                </c:pt>
                <c:pt idx="32" formatCode="General">
                  <c:v>44</c:v>
                </c:pt>
                <c:pt idx="33" formatCode="General">
                  <c:v>44.82</c:v>
                </c:pt>
                <c:pt idx="34" formatCode="General">
                  <c:v>45.27</c:v>
                </c:pt>
                <c:pt idx="35" formatCode="General">
                  <c:v>48.81</c:v>
                </c:pt>
                <c:pt idx="36" formatCode="General">
                  <c:v>47.76</c:v>
                </c:pt>
                <c:pt idx="37" formatCode="General">
                  <c:v>43.29</c:v>
                </c:pt>
                <c:pt idx="38" formatCode="General">
                  <c:v>44.58</c:v>
                </c:pt>
                <c:pt idx="39" formatCode="General">
                  <c:v>44.61</c:v>
                </c:pt>
                <c:pt idx="40" formatCode="General">
                  <c:v>46.96</c:v>
                </c:pt>
                <c:pt idx="41" formatCode="General">
                  <c:v>37.520000000000003</c:v>
                </c:pt>
                <c:pt idx="42" formatCode="General">
                  <c:v>42.5</c:v>
                </c:pt>
                <c:pt idx="43" formatCode="General">
                  <c:v>46.7</c:v>
                </c:pt>
                <c:pt idx="44" formatCode="General">
                  <c:v>47.08</c:v>
                </c:pt>
                <c:pt idx="45" formatCode="General">
                  <c:v>52.92</c:v>
                </c:pt>
                <c:pt idx="46" formatCode="General">
                  <c:v>58.16</c:v>
                </c:pt>
                <c:pt idx="47" formatCode="General">
                  <c:v>59.27</c:v>
                </c:pt>
              </c:numCache>
            </c:numRef>
          </c:val>
          <c:smooth val="0"/>
          <c:extLst xmlns:c16r2="http://schemas.microsoft.com/office/drawing/2015/06/chart">
            <c:ext xmlns:c16="http://schemas.microsoft.com/office/drawing/2014/chart" uri="{C3380CC4-5D6E-409C-BE32-E72D297353CC}">
              <c16:uniqueId val="{00000000-3166-444C-BE1C-A5BC07201E4E}"/>
            </c:ext>
          </c:extLst>
        </c:ser>
        <c:ser>
          <c:idx val="1"/>
          <c:order val="1"/>
          <c:tx>
            <c:strRef>
              <c:f>ICAE!$C$3</c:f>
              <c:strCache>
                <c:ptCount val="1"/>
              </c:strCache>
            </c:strRef>
          </c:tx>
          <c:marker>
            <c:symbol val="none"/>
          </c:marker>
          <c:dLbls>
            <c:dLbl>
              <c:idx val="35"/>
              <c:layout>
                <c:manualLayout>
                  <c:x val="-3.3944331296673458E-2"/>
                  <c:y val="-4.4208664898320031E-2"/>
                </c:manualLayout>
              </c:layout>
              <c:tx>
                <c:rich>
                  <a:bodyPr/>
                  <a:lstStyle/>
                  <a:p>
                    <a:r>
                      <a:rPr lang="en-US" sz="800"/>
                      <a:t>50.0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166-444C-BE1C-A5BC07201E4E}"/>
                </c:ext>
              </c:extLst>
            </c:dLbl>
            <c:spPr>
              <a:noFill/>
              <a:ln>
                <a:noFill/>
              </a:ln>
              <a:effectLst/>
            </c:spPr>
            <c:txPr>
              <a:bodyPr/>
              <a:lstStyle/>
              <a:p>
                <a:pPr>
                  <a:defRPr sz="800"/>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ICAE!$A$16:$A$63</c:f>
              <c:numCache>
                <c:formatCode>mmm\-yy</c:formatCode>
                <c:ptCount val="48"/>
                <c:pt idx="0">
                  <c:v>42370</c:v>
                </c:pt>
                <c:pt idx="1">
                  <c:v>42401</c:v>
                </c:pt>
                <c:pt idx="2">
                  <c:v>42430</c:v>
                </c:pt>
                <c:pt idx="3">
                  <c:v>42461</c:v>
                </c:pt>
                <c:pt idx="4">
                  <c:v>42491</c:v>
                </c:pt>
                <c:pt idx="5">
                  <c:v>42522</c:v>
                </c:pt>
                <c:pt idx="6">
                  <c:v>42552</c:v>
                </c:pt>
                <c:pt idx="7">
                  <c:v>42583</c:v>
                </c:pt>
                <c:pt idx="8">
                  <c:v>42614</c:v>
                </c:pt>
                <c:pt idx="9">
                  <c:v>42644</c:v>
                </c:pt>
                <c:pt idx="10">
                  <c:v>42675</c:v>
                </c:pt>
                <c:pt idx="11">
                  <c:v>42705</c:v>
                </c:pt>
                <c:pt idx="12">
                  <c:v>42736</c:v>
                </c:pt>
                <c:pt idx="13">
                  <c:v>42767</c:v>
                </c:pt>
                <c:pt idx="14">
                  <c:v>42795</c:v>
                </c:pt>
                <c:pt idx="15">
                  <c:v>42826</c:v>
                </c:pt>
                <c:pt idx="16">
                  <c:v>42856</c:v>
                </c:pt>
                <c:pt idx="17">
                  <c:v>42887</c:v>
                </c:pt>
                <c:pt idx="18">
                  <c:v>42917</c:v>
                </c:pt>
                <c:pt idx="19">
                  <c:v>42948</c:v>
                </c:pt>
                <c:pt idx="20">
                  <c:v>42979</c:v>
                </c:pt>
                <c:pt idx="21">
                  <c:v>43009</c:v>
                </c:pt>
                <c:pt idx="22">
                  <c:v>43040</c:v>
                </c:pt>
                <c:pt idx="23">
                  <c:v>43070</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numCache>
            </c:numRef>
          </c:cat>
          <c:val>
            <c:numRef>
              <c:f>ICAE!$C$4:$C$63</c:f>
              <c:numCache>
                <c:formatCode>General</c:formatCode>
                <c:ptCount val="60"/>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numCache>
            </c:numRef>
          </c:val>
          <c:smooth val="0"/>
          <c:extLst xmlns:c16r2="http://schemas.microsoft.com/office/drawing/2015/06/chart">
            <c:ext xmlns:c16="http://schemas.microsoft.com/office/drawing/2014/chart" uri="{C3380CC4-5D6E-409C-BE32-E72D297353CC}">
              <c16:uniqueId val="{00000001-3166-444C-BE1C-A5BC07201E4E}"/>
            </c:ext>
          </c:extLst>
        </c:ser>
        <c:dLbls>
          <c:showLegendKey val="0"/>
          <c:showVal val="0"/>
          <c:showCatName val="0"/>
          <c:showSerName val="0"/>
          <c:showPercent val="0"/>
          <c:showBubbleSize val="0"/>
        </c:dLbls>
        <c:marker val="1"/>
        <c:smooth val="0"/>
        <c:axId val="255695488"/>
        <c:axId val="259719168"/>
      </c:lineChart>
      <c:dateAx>
        <c:axId val="255695488"/>
        <c:scaling>
          <c:orientation val="minMax"/>
        </c:scaling>
        <c:delete val="0"/>
        <c:axPos val="b"/>
        <c:numFmt formatCode="mmm\-yy" sourceLinked="1"/>
        <c:majorTickMark val="out"/>
        <c:minorTickMark val="none"/>
        <c:tickLblPos val="nextTo"/>
        <c:txPr>
          <a:bodyPr rot="-5400000" vert="horz"/>
          <a:lstStyle/>
          <a:p>
            <a:pPr>
              <a:defRPr/>
            </a:pPr>
            <a:endParaRPr lang="es-GT"/>
          </a:p>
        </c:txPr>
        <c:crossAx val="259719168"/>
        <c:crosses val="autoZero"/>
        <c:auto val="1"/>
        <c:lblOffset val="100"/>
        <c:baseTimeUnit val="months"/>
      </c:dateAx>
      <c:valAx>
        <c:axId val="259719168"/>
        <c:scaling>
          <c:orientation val="minMax"/>
          <c:max val="80"/>
        </c:scaling>
        <c:delete val="0"/>
        <c:axPos val="l"/>
        <c:numFmt formatCode="0.0" sourceLinked="1"/>
        <c:majorTickMark val="out"/>
        <c:minorTickMark val="none"/>
        <c:tickLblPos val="nextTo"/>
        <c:crossAx val="255695488"/>
        <c:crosses val="autoZero"/>
        <c:crossBetween val="between"/>
        <c:majorUnit val="15"/>
      </c:valAx>
    </c:plotArea>
    <c:plotVisOnly val="1"/>
    <c:dispBlanksAs val="gap"/>
    <c:showDLblsOverMax val="0"/>
  </c:chart>
  <c:spPr>
    <a:ln>
      <a:noFill/>
    </a:ln>
  </c:spPr>
  <c:txPr>
    <a:bodyPr/>
    <a:lstStyle/>
    <a:p>
      <a:pPr>
        <a:defRPr sz="900">
          <a:latin typeface="Times New Roman" pitchFamily="18" charset="0"/>
          <a:cs typeface="Times New Roman" pitchFamily="18" charset="0"/>
        </a:defRPr>
      </a:pPr>
      <a:endParaRPr lang="es-GT"/>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726534364545369E-2"/>
          <c:y val="2.9197947889649887E-2"/>
          <c:w val="0.8515553068556786"/>
          <c:h val="0.70188428369530731"/>
        </c:manualLayout>
      </c:layout>
      <c:lineChart>
        <c:grouping val="standard"/>
        <c:varyColors val="0"/>
        <c:ser>
          <c:idx val="0"/>
          <c:order val="0"/>
          <c:tx>
            <c:strRef>
              <c:f>'Inflación '!$D$31</c:f>
              <c:strCache>
                <c:ptCount val="1"/>
                <c:pt idx="0">
                  <c:v>Inflación Total </c:v>
                </c:pt>
              </c:strCache>
            </c:strRef>
          </c:tx>
          <c:marker>
            <c:symbol val="none"/>
          </c:marker>
          <c:dLbls>
            <c:dLbl>
              <c:idx val="95"/>
              <c:layout>
                <c:manualLayout>
                  <c:x val="1.1280315848843602E-2"/>
                  <c:y val="-3.15580744714603E-2"/>
                </c:manualLayout>
              </c:layout>
              <c:spPr>
                <a:noFill/>
                <a:ln>
                  <a:noFill/>
                </a:ln>
                <a:effectLst/>
              </c:spPr>
              <c:txPr>
                <a:bodyPr/>
                <a:lstStyle/>
                <a:p>
                  <a:pPr>
                    <a:defRPr sz="700"/>
                  </a:pPr>
                  <a:endParaRPr lang="es-GT"/>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F9C-4856-BD92-25F4843215E3}"/>
                </c:ext>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'Inflación '!$A$32:$A$127</c:f>
              <c:numCache>
                <c:formatCode>mmm\-yy</c:formatCode>
                <c:ptCount val="96"/>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numCache>
            </c:numRef>
          </c:cat>
          <c:val>
            <c:numRef>
              <c:f>'Inflación '!$D$32:$D$127</c:f>
              <c:numCache>
                <c:formatCode>0.00</c:formatCode>
                <c:ptCount val="96"/>
                <c:pt idx="0">
                  <c:v>5.44</c:v>
                </c:pt>
                <c:pt idx="1">
                  <c:v>5.17</c:v>
                </c:pt>
                <c:pt idx="2">
                  <c:v>4.55</c:v>
                </c:pt>
                <c:pt idx="3">
                  <c:v>4.2699999999999996</c:v>
                </c:pt>
                <c:pt idx="4">
                  <c:v>3.9</c:v>
                </c:pt>
                <c:pt idx="5">
                  <c:v>3.47</c:v>
                </c:pt>
                <c:pt idx="6">
                  <c:v>2.86</c:v>
                </c:pt>
                <c:pt idx="7">
                  <c:v>2.71</c:v>
                </c:pt>
                <c:pt idx="8">
                  <c:v>3.28</c:v>
                </c:pt>
                <c:pt idx="9">
                  <c:v>3.35</c:v>
                </c:pt>
                <c:pt idx="10">
                  <c:v>3.11</c:v>
                </c:pt>
                <c:pt idx="11">
                  <c:v>3.45</c:v>
                </c:pt>
                <c:pt idx="12">
                  <c:v>3.86</c:v>
                </c:pt>
                <c:pt idx="13">
                  <c:v>4.18</c:v>
                </c:pt>
                <c:pt idx="14">
                  <c:v>4.34</c:v>
                </c:pt>
                <c:pt idx="15">
                  <c:v>4.13</c:v>
                </c:pt>
                <c:pt idx="16">
                  <c:v>4.2699999999999996</c:v>
                </c:pt>
                <c:pt idx="17">
                  <c:v>4.79</c:v>
                </c:pt>
                <c:pt idx="18">
                  <c:v>4.74</c:v>
                </c:pt>
                <c:pt idx="19">
                  <c:v>4.42</c:v>
                </c:pt>
                <c:pt idx="20">
                  <c:v>4.21</c:v>
                </c:pt>
                <c:pt idx="21">
                  <c:v>4.1500000000000004</c:v>
                </c:pt>
                <c:pt idx="22">
                  <c:v>4.63</c:v>
                </c:pt>
                <c:pt idx="23">
                  <c:v>4.3899999999999997</c:v>
                </c:pt>
                <c:pt idx="24">
                  <c:v>4.1399999999999997</c:v>
                </c:pt>
                <c:pt idx="25">
                  <c:v>3.5</c:v>
                </c:pt>
                <c:pt idx="26">
                  <c:v>3.25</c:v>
                </c:pt>
                <c:pt idx="27">
                  <c:v>3.27</c:v>
                </c:pt>
                <c:pt idx="28">
                  <c:v>3.22</c:v>
                </c:pt>
                <c:pt idx="29">
                  <c:v>3.13</c:v>
                </c:pt>
                <c:pt idx="30">
                  <c:v>3.41</c:v>
                </c:pt>
                <c:pt idx="31">
                  <c:v>3.7</c:v>
                </c:pt>
                <c:pt idx="32">
                  <c:v>3.45</c:v>
                </c:pt>
                <c:pt idx="33">
                  <c:v>3.64</c:v>
                </c:pt>
                <c:pt idx="34">
                  <c:v>3.38</c:v>
                </c:pt>
                <c:pt idx="35">
                  <c:v>2.95</c:v>
                </c:pt>
                <c:pt idx="36">
                  <c:v>2.3199999999999998</c:v>
                </c:pt>
                <c:pt idx="37">
                  <c:v>2.44</c:v>
                </c:pt>
                <c:pt idx="38">
                  <c:v>2.4300000000000002</c:v>
                </c:pt>
                <c:pt idx="39">
                  <c:v>2.58</c:v>
                </c:pt>
                <c:pt idx="40">
                  <c:v>2.5499999999999998</c:v>
                </c:pt>
                <c:pt idx="41">
                  <c:v>2.39</c:v>
                </c:pt>
                <c:pt idx="42">
                  <c:v>2.3199999999999998</c:v>
                </c:pt>
                <c:pt idx="43">
                  <c:v>1.96</c:v>
                </c:pt>
                <c:pt idx="44">
                  <c:v>1.88</c:v>
                </c:pt>
                <c:pt idx="45">
                  <c:v>2.23</c:v>
                </c:pt>
                <c:pt idx="46">
                  <c:v>2.5099999999999998</c:v>
                </c:pt>
                <c:pt idx="47">
                  <c:v>3.07</c:v>
                </c:pt>
                <c:pt idx="48">
                  <c:v>4.38</c:v>
                </c:pt>
                <c:pt idx="49">
                  <c:v>4.2699999999999996</c:v>
                </c:pt>
                <c:pt idx="50">
                  <c:v>4.26</c:v>
                </c:pt>
                <c:pt idx="51">
                  <c:v>4.09</c:v>
                </c:pt>
                <c:pt idx="52">
                  <c:v>4.3600000000000003</c:v>
                </c:pt>
                <c:pt idx="53">
                  <c:v>4.43</c:v>
                </c:pt>
                <c:pt idx="54">
                  <c:v>4.62</c:v>
                </c:pt>
                <c:pt idx="55">
                  <c:v>4.74</c:v>
                </c:pt>
                <c:pt idx="56">
                  <c:v>4.5599999999999996</c:v>
                </c:pt>
                <c:pt idx="57">
                  <c:v>4.76</c:v>
                </c:pt>
                <c:pt idx="58">
                  <c:v>4.67</c:v>
                </c:pt>
                <c:pt idx="59">
                  <c:v>4.2300000000000004</c:v>
                </c:pt>
                <c:pt idx="60">
                  <c:v>3.83</c:v>
                </c:pt>
                <c:pt idx="61">
                  <c:v>3.96</c:v>
                </c:pt>
                <c:pt idx="62">
                  <c:v>4</c:v>
                </c:pt>
                <c:pt idx="63">
                  <c:v>4.09</c:v>
                </c:pt>
                <c:pt idx="64">
                  <c:v>3.93</c:v>
                </c:pt>
                <c:pt idx="65">
                  <c:v>4.3600000000000003</c:v>
                </c:pt>
                <c:pt idx="66">
                  <c:v>5.22</c:v>
                </c:pt>
                <c:pt idx="67">
                  <c:v>4.72</c:v>
                </c:pt>
                <c:pt idx="68">
                  <c:v>4.3600000000000003</c:v>
                </c:pt>
                <c:pt idx="69">
                  <c:v>4.2</c:v>
                </c:pt>
                <c:pt idx="70">
                  <c:v>4.6900000000000004</c:v>
                </c:pt>
                <c:pt idx="71">
                  <c:v>5.68</c:v>
                </c:pt>
                <c:pt idx="72">
                  <c:v>4.71</c:v>
                </c:pt>
                <c:pt idx="73">
                  <c:v>4.1500000000000004</c:v>
                </c:pt>
                <c:pt idx="74">
                  <c:v>4.1399999999999997</c:v>
                </c:pt>
                <c:pt idx="75">
                  <c:v>3.92</c:v>
                </c:pt>
                <c:pt idx="76">
                  <c:v>4.09</c:v>
                </c:pt>
                <c:pt idx="77">
                  <c:v>3.79</c:v>
                </c:pt>
                <c:pt idx="78">
                  <c:v>2.61</c:v>
                </c:pt>
                <c:pt idx="79">
                  <c:v>3.36</c:v>
                </c:pt>
                <c:pt idx="80">
                  <c:v>4.55</c:v>
                </c:pt>
                <c:pt idx="81">
                  <c:v>4.34</c:v>
                </c:pt>
                <c:pt idx="82">
                  <c:v>3.15</c:v>
                </c:pt>
                <c:pt idx="83">
                  <c:v>2.31</c:v>
                </c:pt>
                <c:pt idx="84">
                  <c:v>4.0999999999999996</c:v>
                </c:pt>
                <c:pt idx="85">
                  <c:v>4.46</c:v>
                </c:pt>
                <c:pt idx="86">
                  <c:v>4.17</c:v>
                </c:pt>
                <c:pt idx="87">
                  <c:v>4.75</c:v>
                </c:pt>
                <c:pt idx="88">
                  <c:v>4.54</c:v>
                </c:pt>
                <c:pt idx="89">
                  <c:v>4.8</c:v>
                </c:pt>
                <c:pt idx="90">
                  <c:v>4.37</c:v>
                </c:pt>
                <c:pt idx="91">
                  <c:v>3.01</c:v>
                </c:pt>
                <c:pt idx="92">
                  <c:v>1.8</c:v>
                </c:pt>
                <c:pt idx="93">
                  <c:v>2.17</c:v>
                </c:pt>
                <c:pt idx="94">
                  <c:v>2.92</c:v>
                </c:pt>
                <c:pt idx="95">
                  <c:v>3.41</c:v>
                </c:pt>
              </c:numCache>
            </c:numRef>
          </c:val>
          <c:smooth val="0"/>
          <c:extLst xmlns:c16r2="http://schemas.microsoft.com/office/drawing/2015/06/chart">
            <c:ext xmlns:c16="http://schemas.microsoft.com/office/drawing/2014/chart" uri="{C3380CC4-5D6E-409C-BE32-E72D297353CC}">
              <c16:uniqueId val="{00000001-7F9C-4856-BD92-25F4843215E3}"/>
            </c:ext>
          </c:extLst>
        </c:ser>
        <c:ser>
          <c:idx val="1"/>
          <c:order val="1"/>
          <c:tx>
            <c:strRef>
              <c:f>'Inflación '!$B$31</c:f>
              <c:strCache>
                <c:ptCount val="1"/>
                <c:pt idx="0">
                  <c:v>Inflación Subyacente</c:v>
                </c:pt>
              </c:strCache>
            </c:strRef>
          </c:tx>
          <c:marker>
            <c:symbol val="none"/>
          </c:marker>
          <c:dLbls>
            <c:dLbl>
              <c:idx val="95"/>
              <c:layout>
                <c:manualLayout>
                  <c:x val="1.1280315848843602E-2"/>
                  <c:y val="4.048080528395482E-2"/>
                </c:manualLayout>
              </c:layout>
              <c:spPr>
                <a:noFill/>
                <a:ln>
                  <a:noFill/>
                </a:ln>
                <a:effectLst/>
              </c:spPr>
              <c:txPr>
                <a:bodyPr/>
                <a:lstStyle/>
                <a:p>
                  <a:pPr>
                    <a:defRPr sz="700"/>
                  </a:pPr>
                  <a:endParaRPr lang="es-GT"/>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F9C-4856-BD92-25F4843215E3}"/>
                </c:ext>
              </c:extLst>
            </c:dLbl>
            <c:spPr>
              <a:noFill/>
              <a:ln>
                <a:noFill/>
              </a:ln>
              <a:effectLst/>
            </c:spPr>
            <c:txPr>
              <a:bodyPr/>
              <a:lstStyle/>
              <a:p>
                <a:pPr>
                  <a:defRPr sz="800"/>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'Inflación '!$A$32:$A$127</c:f>
              <c:numCache>
                <c:formatCode>mmm\-yy</c:formatCode>
                <c:ptCount val="96"/>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numCache>
            </c:numRef>
          </c:cat>
          <c:val>
            <c:numRef>
              <c:f>'Inflación '!$B$32:$B$127</c:f>
              <c:numCache>
                <c:formatCode>0.00</c:formatCode>
                <c:ptCount val="96"/>
                <c:pt idx="0">
                  <c:v>3.84</c:v>
                </c:pt>
                <c:pt idx="1">
                  <c:v>4</c:v>
                </c:pt>
                <c:pt idx="2">
                  <c:v>4</c:v>
                </c:pt>
                <c:pt idx="3">
                  <c:v>3.9</c:v>
                </c:pt>
                <c:pt idx="4">
                  <c:v>3.95</c:v>
                </c:pt>
                <c:pt idx="5">
                  <c:v>4.04</c:v>
                </c:pt>
                <c:pt idx="6">
                  <c:v>3.94</c:v>
                </c:pt>
                <c:pt idx="7">
                  <c:v>3.71</c:v>
                </c:pt>
                <c:pt idx="8">
                  <c:v>3.54</c:v>
                </c:pt>
                <c:pt idx="9">
                  <c:v>3.46</c:v>
                </c:pt>
                <c:pt idx="10">
                  <c:v>3.56</c:v>
                </c:pt>
                <c:pt idx="11">
                  <c:v>3.49</c:v>
                </c:pt>
                <c:pt idx="12">
                  <c:v>3.35</c:v>
                </c:pt>
                <c:pt idx="13">
                  <c:v>3.12</c:v>
                </c:pt>
                <c:pt idx="14">
                  <c:v>3.06</c:v>
                </c:pt>
                <c:pt idx="15">
                  <c:v>3.08</c:v>
                </c:pt>
                <c:pt idx="16">
                  <c:v>3.02</c:v>
                </c:pt>
                <c:pt idx="17">
                  <c:v>2.94</c:v>
                </c:pt>
                <c:pt idx="18">
                  <c:v>3.04</c:v>
                </c:pt>
                <c:pt idx="19">
                  <c:v>3.23</c:v>
                </c:pt>
                <c:pt idx="20">
                  <c:v>3.28</c:v>
                </c:pt>
                <c:pt idx="21">
                  <c:v>3.32</c:v>
                </c:pt>
                <c:pt idx="22">
                  <c:v>3.2</c:v>
                </c:pt>
                <c:pt idx="23">
                  <c:v>3.25</c:v>
                </c:pt>
                <c:pt idx="24">
                  <c:v>3.23</c:v>
                </c:pt>
                <c:pt idx="25">
                  <c:v>3.26</c:v>
                </c:pt>
                <c:pt idx="26">
                  <c:v>3.19</c:v>
                </c:pt>
                <c:pt idx="27">
                  <c:v>3.18</c:v>
                </c:pt>
                <c:pt idx="28">
                  <c:v>3.21</c:v>
                </c:pt>
                <c:pt idx="29">
                  <c:v>3.23</c:v>
                </c:pt>
                <c:pt idx="30">
                  <c:v>3.27</c:v>
                </c:pt>
                <c:pt idx="31">
                  <c:v>3.2</c:v>
                </c:pt>
                <c:pt idx="32">
                  <c:v>3.1</c:v>
                </c:pt>
                <c:pt idx="33">
                  <c:v>3.11</c:v>
                </c:pt>
                <c:pt idx="34">
                  <c:v>3.13</c:v>
                </c:pt>
                <c:pt idx="35">
                  <c:v>3.15</c:v>
                </c:pt>
                <c:pt idx="36">
                  <c:v>3.17</c:v>
                </c:pt>
                <c:pt idx="37">
                  <c:v>3.2</c:v>
                </c:pt>
                <c:pt idx="38">
                  <c:v>3.24</c:v>
                </c:pt>
                <c:pt idx="39">
                  <c:v>3.18</c:v>
                </c:pt>
                <c:pt idx="40">
                  <c:v>3.26</c:v>
                </c:pt>
                <c:pt idx="41">
                  <c:v>3.18</c:v>
                </c:pt>
                <c:pt idx="42">
                  <c:v>3.15</c:v>
                </c:pt>
                <c:pt idx="43">
                  <c:v>3.03</c:v>
                </c:pt>
                <c:pt idx="44">
                  <c:v>2.94</c:v>
                </c:pt>
                <c:pt idx="45">
                  <c:v>3</c:v>
                </c:pt>
                <c:pt idx="46">
                  <c:v>3.06</c:v>
                </c:pt>
                <c:pt idx="47">
                  <c:v>3.05</c:v>
                </c:pt>
                <c:pt idx="48">
                  <c:v>3.16</c:v>
                </c:pt>
                <c:pt idx="49">
                  <c:v>3.1</c:v>
                </c:pt>
                <c:pt idx="50">
                  <c:v>3.08</c:v>
                </c:pt>
                <c:pt idx="51">
                  <c:v>3.03</c:v>
                </c:pt>
                <c:pt idx="52">
                  <c:v>2.87</c:v>
                </c:pt>
                <c:pt idx="53">
                  <c:v>2.94</c:v>
                </c:pt>
                <c:pt idx="54">
                  <c:v>2.92</c:v>
                </c:pt>
                <c:pt idx="55">
                  <c:v>2.76</c:v>
                </c:pt>
                <c:pt idx="56">
                  <c:v>2.84</c:v>
                </c:pt>
                <c:pt idx="57">
                  <c:v>2.9</c:v>
                </c:pt>
                <c:pt idx="58">
                  <c:v>2.94</c:v>
                </c:pt>
                <c:pt idx="59">
                  <c:v>2.96</c:v>
                </c:pt>
                <c:pt idx="60">
                  <c:v>2.66</c:v>
                </c:pt>
                <c:pt idx="61">
                  <c:v>2.57</c:v>
                </c:pt>
                <c:pt idx="62">
                  <c:v>2.62</c:v>
                </c:pt>
                <c:pt idx="63">
                  <c:v>2.58</c:v>
                </c:pt>
                <c:pt idx="64">
                  <c:v>2.61</c:v>
                </c:pt>
                <c:pt idx="65">
                  <c:v>2.6</c:v>
                </c:pt>
                <c:pt idx="66">
                  <c:v>2.57</c:v>
                </c:pt>
                <c:pt idx="67">
                  <c:v>2.79</c:v>
                </c:pt>
                <c:pt idx="68">
                  <c:v>2.87</c:v>
                </c:pt>
                <c:pt idx="69">
                  <c:v>2.9</c:v>
                </c:pt>
                <c:pt idx="70">
                  <c:v>2.92</c:v>
                </c:pt>
                <c:pt idx="71">
                  <c:v>2.95</c:v>
                </c:pt>
                <c:pt idx="72">
                  <c:v>2.66</c:v>
                </c:pt>
                <c:pt idx="73">
                  <c:v>2.57</c:v>
                </c:pt>
                <c:pt idx="74">
                  <c:v>2.62</c:v>
                </c:pt>
                <c:pt idx="75">
                  <c:v>2.58</c:v>
                </c:pt>
                <c:pt idx="76">
                  <c:v>2.61</c:v>
                </c:pt>
                <c:pt idx="77">
                  <c:v>2.6</c:v>
                </c:pt>
                <c:pt idx="78">
                  <c:v>2.57</c:v>
                </c:pt>
                <c:pt idx="79">
                  <c:v>2.79</c:v>
                </c:pt>
                <c:pt idx="80">
                  <c:v>2.87</c:v>
                </c:pt>
                <c:pt idx="81">
                  <c:v>2.9</c:v>
                </c:pt>
                <c:pt idx="82">
                  <c:v>2.92</c:v>
                </c:pt>
                <c:pt idx="83">
                  <c:v>2.95</c:v>
                </c:pt>
                <c:pt idx="84">
                  <c:v>3.03</c:v>
                </c:pt>
                <c:pt idx="85">
                  <c:v>3.07</c:v>
                </c:pt>
                <c:pt idx="86">
                  <c:v>2.94</c:v>
                </c:pt>
                <c:pt idx="87">
                  <c:v>3.04</c:v>
                </c:pt>
                <c:pt idx="88">
                  <c:v>3.02</c:v>
                </c:pt>
                <c:pt idx="89">
                  <c:v>3.09</c:v>
                </c:pt>
                <c:pt idx="90">
                  <c:v>3.16</c:v>
                </c:pt>
                <c:pt idx="91">
                  <c:v>3.05</c:v>
                </c:pt>
                <c:pt idx="92">
                  <c:v>2.88</c:v>
                </c:pt>
                <c:pt idx="93">
                  <c:v>2.98</c:v>
                </c:pt>
                <c:pt idx="94">
                  <c:v>3.07</c:v>
                </c:pt>
                <c:pt idx="95">
                  <c:v>3.12</c:v>
                </c:pt>
              </c:numCache>
            </c:numRef>
          </c:val>
          <c:smooth val="0"/>
          <c:extLst xmlns:c16r2="http://schemas.microsoft.com/office/drawing/2015/06/chart">
            <c:ext xmlns:c16="http://schemas.microsoft.com/office/drawing/2014/chart" uri="{C3380CC4-5D6E-409C-BE32-E72D297353CC}">
              <c16:uniqueId val="{00000003-7F9C-4856-BD92-25F4843215E3}"/>
            </c:ext>
          </c:extLst>
        </c:ser>
        <c:ser>
          <c:idx val="2"/>
          <c:order val="2"/>
          <c:tx>
            <c:strRef>
              <c:f>'Inflación '!$C$31</c:f>
              <c:strCache>
                <c:ptCount val="1"/>
                <c:pt idx="0">
                  <c:v>Rango inferior meta</c:v>
                </c:pt>
              </c:strCache>
            </c:strRef>
          </c:tx>
          <c:marker>
            <c:symbol val="none"/>
          </c:marker>
          <c:cat>
            <c:numRef>
              <c:f>'Inflación '!$A$32:$A$127</c:f>
              <c:numCache>
                <c:formatCode>mmm\-yy</c:formatCode>
                <c:ptCount val="96"/>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numCache>
            </c:numRef>
          </c:cat>
          <c:val>
            <c:numRef>
              <c:f>'Inflación '!$C$32:$C$127</c:f>
              <c:numCache>
                <c:formatCode>0.00</c:formatCode>
                <c:ptCount val="96"/>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pt idx="90">
                  <c:v>3</c:v>
                </c:pt>
                <c:pt idx="91">
                  <c:v>3</c:v>
                </c:pt>
                <c:pt idx="92">
                  <c:v>3</c:v>
                </c:pt>
                <c:pt idx="93">
                  <c:v>3</c:v>
                </c:pt>
                <c:pt idx="94">
                  <c:v>3</c:v>
                </c:pt>
                <c:pt idx="95">
                  <c:v>3</c:v>
                </c:pt>
              </c:numCache>
            </c:numRef>
          </c:val>
          <c:smooth val="0"/>
          <c:extLst xmlns:c16r2="http://schemas.microsoft.com/office/drawing/2015/06/chart">
            <c:ext xmlns:c16="http://schemas.microsoft.com/office/drawing/2014/chart" uri="{C3380CC4-5D6E-409C-BE32-E72D297353CC}">
              <c16:uniqueId val="{00000004-7F9C-4856-BD92-25F4843215E3}"/>
            </c:ext>
          </c:extLst>
        </c:ser>
        <c:ser>
          <c:idx val="3"/>
          <c:order val="3"/>
          <c:tx>
            <c:strRef>
              <c:f>'Inflación '!$E$31</c:f>
              <c:strCache>
                <c:ptCount val="1"/>
                <c:pt idx="0">
                  <c:v>Rango superior meta</c:v>
                </c:pt>
              </c:strCache>
            </c:strRef>
          </c:tx>
          <c:marker>
            <c:symbol val="none"/>
          </c:marker>
          <c:val>
            <c:numRef>
              <c:f>'Inflación '!$E$32:$E$127</c:f>
              <c:numCache>
                <c:formatCode>0.00</c:formatCode>
                <c:ptCount val="96"/>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pt idx="61">
                  <c:v>5</c:v>
                </c:pt>
                <c:pt idx="62">
                  <c:v>5</c:v>
                </c:pt>
                <c:pt idx="63">
                  <c:v>5</c:v>
                </c:pt>
                <c:pt idx="64">
                  <c:v>5</c:v>
                </c:pt>
                <c:pt idx="65">
                  <c:v>5</c:v>
                </c:pt>
                <c:pt idx="66">
                  <c:v>5</c:v>
                </c:pt>
                <c:pt idx="67">
                  <c:v>5</c:v>
                </c:pt>
                <c:pt idx="68">
                  <c:v>5</c:v>
                </c:pt>
                <c:pt idx="69">
                  <c:v>5</c:v>
                </c:pt>
                <c:pt idx="70">
                  <c:v>5</c:v>
                </c:pt>
                <c:pt idx="71">
                  <c:v>5</c:v>
                </c:pt>
                <c:pt idx="72">
                  <c:v>5</c:v>
                </c:pt>
                <c:pt idx="73">
                  <c:v>5</c:v>
                </c:pt>
                <c:pt idx="74">
                  <c:v>5</c:v>
                </c:pt>
                <c:pt idx="75">
                  <c:v>5</c:v>
                </c:pt>
                <c:pt idx="76">
                  <c:v>5</c:v>
                </c:pt>
                <c:pt idx="77">
                  <c:v>5</c:v>
                </c:pt>
                <c:pt idx="78">
                  <c:v>5</c:v>
                </c:pt>
                <c:pt idx="79">
                  <c:v>5</c:v>
                </c:pt>
                <c:pt idx="80">
                  <c:v>5</c:v>
                </c:pt>
                <c:pt idx="81">
                  <c:v>5</c:v>
                </c:pt>
                <c:pt idx="82">
                  <c:v>5</c:v>
                </c:pt>
                <c:pt idx="83">
                  <c:v>5</c:v>
                </c:pt>
                <c:pt idx="84">
                  <c:v>5</c:v>
                </c:pt>
                <c:pt idx="85">
                  <c:v>5</c:v>
                </c:pt>
                <c:pt idx="86">
                  <c:v>5</c:v>
                </c:pt>
                <c:pt idx="87">
                  <c:v>5</c:v>
                </c:pt>
                <c:pt idx="88">
                  <c:v>5</c:v>
                </c:pt>
                <c:pt idx="89">
                  <c:v>5</c:v>
                </c:pt>
                <c:pt idx="90">
                  <c:v>5</c:v>
                </c:pt>
                <c:pt idx="91">
                  <c:v>5</c:v>
                </c:pt>
                <c:pt idx="92">
                  <c:v>5</c:v>
                </c:pt>
                <c:pt idx="93">
                  <c:v>5</c:v>
                </c:pt>
                <c:pt idx="94">
                  <c:v>5</c:v>
                </c:pt>
                <c:pt idx="95">
                  <c:v>5</c:v>
                </c:pt>
              </c:numCache>
            </c:numRef>
          </c:val>
          <c:smooth val="0"/>
          <c:extLst xmlns:c16r2="http://schemas.microsoft.com/office/drawing/2015/06/chart">
            <c:ext xmlns:c16="http://schemas.microsoft.com/office/drawing/2014/chart" uri="{C3380CC4-5D6E-409C-BE32-E72D297353CC}">
              <c16:uniqueId val="{00000005-7F9C-4856-BD92-25F4843215E3}"/>
            </c:ext>
          </c:extLst>
        </c:ser>
        <c:dLbls>
          <c:showLegendKey val="0"/>
          <c:showVal val="0"/>
          <c:showCatName val="0"/>
          <c:showSerName val="0"/>
          <c:showPercent val="0"/>
          <c:showBubbleSize val="0"/>
        </c:dLbls>
        <c:marker val="1"/>
        <c:smooth val="0"/>
        <c:axId val="231727104"/>
        <c:axId val="231728640"/>
      </c:lineChart>
      <c:dateAx>
        <c:axId val="231727104"/>
        <c:scaling>
          <c:orientation val="minMax"/>
        </c:scaling>
        <c:delete val="0"/>
        <c:axPos val="b"/>
        <c:numFmt formatCode="mmm\-yy" sourceLinked="1"/>
        <c:majorTickMark val="none"/>
        <c:minorTickMark val="none"/>
        <c:tickLblPos val="nextTo"/>
        <c:txPr>
          <a:bodyPr/>
          <a:lstStyle/>
          <a:p>
            <a:pPr>
              <a:defRPr b="1"/>
            </a:pPr>
            <a:endParaRPr lang="es-GT"/>
          </a:p>
        </c:txPr>
        <c:crossAx val="231728640"/>
        <c:crosses val="autoZero"/>
        <c:auto val="1"/>
        <c:lblOffset val="100"/>
        <c:baseTimeUnit val="months"/>
      </c:dateAx>
      <c:valAx>
        <c:axId val="231728640"/>
        <c:scaling>
          <c:orientation val="minMax"/>
        </c:scaling>
        <c:delete val="0"/>
        <c:axPos val="l"/>
        <c:majorGridlines/>
        <c:numFmt formatCode="0.00" sourceLinked="1"/>
        <c:majorTickMark val="none"/>
        <c:minorTickMark val="none"/>
        <c:tickLblPos val="nextTo"/>
        <c:spPr>
          <a:ln w="9525">
            <a:noFill/>
          </a:ln>
        </c:spPr>
        <c:txPr>
          <a:bodyPr/>
          <a:lstStyle/>
          <a:p>
            <a:pPr>
              <a:defRPr b="1"/>
            </a:pPr>
            <a:endParaRPr lang="es-GT"/>
          </a:p>
        </c:txPr>
        <c:crossAx val="231727104"/>
        <c:crosses val="autoZero"/>
        <c:crossBetween val="between"/>
      </c:valAx>
    </c:plotArea>
    <c:legend>
      <c:legendPos val="b"/>
      <c:layout>
        <c:manualLayout>
          <c:xMode val="edge"/>
          <c:yMode val="edge"/>
          <c:x val="8.9933428372214897E-3"/>
          <c:y val="0.87301894955438264"/>
          <c:w val="0.99100665716277847"/>
          <c:h val="0.12698105044561739"/>
        </c:manualLayout>
      </c:layout>
      <c:overlay val="0"/>
      <c:txPr>
        <a:bodyPr/>
        <a:lstStyle/>
        <a:p>
          <a:pPr>
            <a:defRPr b="1"/>
          </a:pPr>
          <a:endParaRPr lang="es-GT"/>
        </a:p>
      </c:txPr>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913712550068992"/>
          <c:y val="2.5165446363427074E-2"/>
          <c:w val="0.87736516806366949"/>
          <c:h val="0.89212549709900413"/>
        </c:manualLayout>
      </c:layout>
      <c:barChart>
        <c:barDir val="col"/>
        <c:grouping val="clustered"/>
        <c:varyColors val="0"/>
        <c:ser>
          <c:idx val="1"/>
          <c:order val="0"/>
          <c:spPr>
            <a:solidFill>
              <a:schemeClr val="tx2"/>
            </a:solidFill>
            <a:scene3d>
              <a:camera prst="orthographicFront"/>
              <a:lightRig rig="threePt" dir="t"/>
            </a:scene3d>
            <a:sp3d>
              <a:bevelT/>
            </a:sp3d>
          </c:spPr>
          <c:invertIfNegative val="0"/>
          <c:dPt>
            <c:idx val="9"/>
            <c:invertIfNegative val="0"/>
            <c:bubble3D val="0"/>
            <c:spPr>
              <a:solidFill>
                <a:schemeClr val="tx2">
                  <a:lumMod val="50000"/>
                </a:schemeClr>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4DB8-4DE8-A121-95D51433F9B5}"/>
              </c:ext>
            </c:extLst>
          </c:dPt>
          <c:dLbls>
            <c:numFmt formatCode="#,##0.0" sourceLinked="0"/>
            <c:spPr>
              <a:noFill/>
              <a:ln>
                <a:noFill/>
              </a:ln>
              <a:effectLst/>
            </c:spPr>
            <c:txPr>
              <a:bodyPr/>
              <a:lstStyle/>
              <a:p>
                <a:pPr>
                  <a:defRPr sz="700" b="0" i="0" u="none" strike="noStrike" baseline="0">
                    <a:solidFill>
                      <a:srgbClr val="000000"/>
                    </a:solidFill>
                    <a:latin typeface="Times New Roman" pitchFamily="18" charset="0"/>
                    <a:ea typeface="Calibri"/>
                    <a:cs typeface="Times New Roman"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Remesas!$B$10:$K$10</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Remesas!$B$12:$K$12</c:f>
              <c:numCache>
                <c:formatCode>#,##0.0</c:formatCode>
                <c:ptCount val="10"/>
                <c:pt idx="0">
                  <c:v>4126.7840999999999</c:v>
                </c:pt>
                <c:pt idx="1">
                  <c:v>4378.0320000000002</c:v>
                </c:pt>
                <c:pt idx="2">
                  <c:v>4782.7287000000006</c:v>
                </c:pt>
                <c:pt idx="3">
                  <c:v>5105.1890000000012</c:v>
                </c:pt>
                <c:pt idx="4">
                  <c:v>5544.0975999999991</c:v>
                </c:pt>
                <c:pt idx="5">
                  <c:v>6284.9778422000009</c:v>
                </c:pt>
                <c:pt idx="6">
                  <c:v>7159.9676000000018</c:v>
                </c:pt>
                <c:pt idx="7">
                  <c:v>8192.213099999999</c:v>
                </c:pt>
                <c:pt idx="8">
                  <c:v>9287.7706999999991</c:v>
                </c:pt>
                <c:pt idx="9">
                  <c:v>10508.307399999998</c:v>
                </c:pt>
              </c:numCache>
            </c:numRef>
          </c:val>
          <c:extLst xmlns:c16r2="http://schemas.microsoft.com/office/drawing/2015/06/chart">
            <c:ext xmlns:c16="http://schemas.microsoft.com/office/drawing/2014/chart" uri="{C3380CC4-5D6E-409C-BE32-E72D297353CC}">
              <c16:uniqueId val="{00000002-4DB8-4DE8-A121-95D51433F9B5}"/>
            </c:ext>
          </c:extLst>
        </c:ser>
        <c:dLbls>
          <c:showLegendKey val="0"/>
          <c:showVal val="0"/>
          <c:showCatName val="0"/>
          <c:showSerName val="0"/>
          <c:showPercent val="0"/>
          <c:showBubbleSize val="0"/>
        </c:dLbls>
        <c:gapWidth val="80"/>
        <c:axId val="236071936"/>
        <c:axId val="238191744"/>
      </c:barChart>
      <c:catAx>
        <c:axId val="236071936"/>
        <c:scaling>
          <c:orientation val="minMax"/>
        </c:scaling>
        <c:delete val="0"/>
        <c:axPos val="b"/>
        <c:numFmt formatCode="General"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GT"/>
          </a:p>
        </c:txPr>
        <c:crossAx val="238191744"/>
        <c:crosses val="autoZero"/>
        <c:auto val="1"/>
        <c:lblAlgn val="ctr"/>
        <c:lblOffset val="100"/>
        <c:noMultiLvlLbl val="0"/>
      </c:catAx>
      <c:valAx>
        <c:axId val="238191744"/>
        <c:scaling>
          <c:orientation val="minMax"/>
        </c:scaling>
        <c:delete val="0"/>
        <c:axPos val="l"/>
        <c:numFmt formatCode="#,##0.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es-GT"/>
          </a:p>
        </c:txPr>
        <c:crossAx val="236071936"/>
        <c:crosses val="autoZero"/>
        <c:crossBetween val="between"/>
      </c:valAx>
    </c:plotArea>
    <c:plotVisOnly val="1"/>
    <c:dispBlanksAs val="gap"/>
    <c:showDLblsOverMax val="0"/>
  </c:chart>
  <c:spPr>
    <a:ln>
      <a:noFill/>
    </a:ln>
  </c:spPr>
  <c:txPr>
    <a:bodyPr/>
    <a:lstStyle/>
    <a:p>
      <a:pPr>
        <a:defRPr sz="1000" b="0" i="0" u="none" strike="noStrike" baseline="0">
          <a:solidFill>
            <a:srgbClr val="000000"/>
          </a:solidFill>
          <a:latin typeface="Calibri"/>
          <a:ea typeface="Calibri"/>
          <a:cs typeface="Calibri"/>
        </a:defRPr>
      </a:pPr>
      <a:endParaRPr lang="es-G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92763118144979"/>
          <c:y val="2.1403337840345715E-2"/>
          <c:w val="0.85917377666729222"/>
          <c:h val="0.90826315949369885"/>
        </c:manualLayout>
      </c:layout>
      <c:barChart>
        <c:barDir val="col"/>
        <c:grouping val="clustered"/>
        <c:varyColors val="0"/>
        <c:ser>
          <c:idx val="1"/>
          <c:order val="0"/>
          <c:spPr>
            <a:solidFill>
              <a:schemeClr val="tx2"/>
            </a:solidFill>
            <a:scene3d>
              <a:camera prst="orthographicFront"/>
              <a:lightRig rig="threePt" dir="t"/>
            </a:scene3d>
            <a:sp3d>
              <a:bevelT/>
            </a:sp3d>
          </c:spPr>
          <c:invertIfNegative val="0"/>
          <c:dPt>
            <c:idx val="9"/>
            <c:invertIfNegative val="0"/>
            <c:bubble3D val="0"/>
            <c:spPr>
              <a:solidFill>
                <a:schemeClr val="tx2">
                  <a:lumMod val="50000"/>
                </a:schemeClr>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A923-4329-B5BE-3975A3F4480F}"/>
              </c:ext>
            </c:extLst>
          </c:dPt>
          <c:dLbls>
            <c:numFmt formatCode="#,##0.0" sourceLinked="0"/>
            <c:spPr>
              <a:noFill/>
              <a:ln>
                <a:noFill/>
              </a:ln>
              <a:effectLst/>
            </c:spPr>
            <c:txPr>
              <a:bodyPr/>
              <a:lstStyle/>
              <a:p>
                <a:pPr>
                  <a:defRPr sz="700"/>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RMI!$B$36:$B$45</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RMI!$C$36:$C$45</c:f>
              <c:numCache>
                <c:formatCode>#,##0.0</c:formatCode>
                <c:ptCount val="10"/>
                <c:pt idx="0">
                  <c:v>5953.8</c:v>
                </c:pt>
                <c:pt idx="1">
                  <c:v>6187.9</c:v>
                </c:pt>
                <c:pt idx="2">
                  <c:v>6693.8</c:v>
                </c:pt>
                <c:pt idx="3">
                  <c:v>7272.6</c:v>
                </c:pt>
                <c:pt idx="4">
                  <c:v>7333.4</c:v>
                </c:pt>
                <c:pt idx="5">
                  <c:v>7751.2</c:v>
                </c:pt>
                <c:pt idx="6">
                  <c:v>9160.4</c:v>
                </c:pt>
                <c:pt idx="7">
                  <c:v>11769.5</c:v>
                </c:pt>
                <c:pt idx="8">
                  <c:v>12755.6</c:v>
                </c:pt>
                <c:pt idx="9">
                  <c:v>14789</c:v>
                </c:pt>
              </c:numCache>
            </c:numRef>
          </c:val>
          <c:extLst xmlns:c16r2="http://schemas.microsoft.com/office/drawing/2015/06/chart">
            <c:ext xmlns:c16="http://schemas.microsoft.com/office/drawing/2014/chart" uri="{C3380CC4-5D6E-409C-BE32-E72D297353CC}">
              <c16:uniqueId val="{00000002-A923-4329-B5BE-3975A3F4480F}"/>
            </c:ext>
          </c:extLst>
        </c:ser>
        <c:dLbls>
          <c:showLegendKey val="0"/>
          <c:showVal val="0"/>
          <c:showCatName val="0"/>
          <c:showSerName val="0"/>
          <c:showPercent val="0"/>
          <c:showBubbleSize val="0"/>
        </c:dLbls>
        <c:gapWidth val="36"/>
        <c:axId val="238168704"/>
        <c:axId val="245309824"/>
      </c:barChart>
      <c:catAx>
        <c:axId val="238168704"/>
        <c:scaling>
          <c:orientation val="minMax"/>
        </c:scaling>
        <c:delete val="0"/>
        <c:axPos val="b"/>
        <c:numFmt formatCode="General" sourceLinked="1"/>
        <c:majorTickMark val="out"/>
        <c:minorTickMark val="none"/>
        <c:tickLblPos val="nextTo"/>
        <c:crossAx val="245309824"/>
        <c:crosses val="autoZero"/>
        <c:auto val="1"/>
        <c:lblAlgn val="ctr"/>
        <c:lblOffset val="100"/>
        <c:noMultiLvlLbl val="0"/>
      </c:catAx>
      <c:valAx>
        <c:axId val="245309824"/>
        <c:scaling>
          <c:orientation val="minMax"/>
        </c:scaling>
        <c:delete val="0"/>
        <c:axPos val="l"/>
        <c:numFmt formatCode="#,##0.0" sourceLinked="1"/>
        <c:majorTickMark val="out"/>
        <c:minorTickMark val="none"/>
        <c:tickLblPos val="nextTo"/>
        <c:crossAx val="238168704"/>
        <c:crosses val="autoZero"/>
        <c:crossBetween val="between"/>
      </c:valAx>
      <c:spPr>
        <a:ln>
          <a:noFill/>
        </a:ln>
      </c:spPr>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9237768609156675E-2"/>
          <c:y val="2.1528433945756782E-2"/>
          <c:w val="0.89118754271116007"/>
          <c:h val="0.84875871473051201"/>
        </c:manualLayout>
      </c:layout>
      <c:lineChart>
        <c:grouping val="standard"/>
        <c:varyColors val="0"/>
        <c:ser>
          <c:idx val="0"/>
          <c:order val="0"/>
          <c:spPr>
            <a:ln w="25400"/>
          </c:spPr>
          <c:marker>
            <c:symbol val="none"/>
          </c:marker>
          <c:dLbls>
            <c:dLbl>
              <c:idx val="0"/>
              <c:layout>
                <c:manualLayout>
                  <c:x val="-1.9598765432098767E-2"/>
                  <c:y val="2.265545361875638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C00-429D-B519-CF73E0D79F5A}"/>
                </c:ext>
              </c:extLst>
            </c:dLbl>
            <c:dLbl>
              <c:idx val="6"/>
              <c:dLblPos val="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C00-429D-B519-CF73E0D79F5A}"/>
                </c:ext>
              </c:extLst>
            </c:dLbl>
            <c:dLbl>
              <c:idx val="1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C00-429D-B519-CF73E0D79F5A}"/>
                </c:ext>
              </c:extLst>
            </c:dLbl>
            <c:dLbl>
              <c:idx val="14"/>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C00-429D-B519-CF73E0D79F5A}"/>
                </c:ext>
              </c:extLst>
            </c:dLbl>
            <c:dLbl>
              <c:idx val="15"/>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C00-429D-B519-CF73E0D79F5A}"/>
                </c:ext>
              </c:extLst>
            </c:dLbl>
            <c:dLbl>
              <c:idx val="18"/>
              <c:layout>
                <c:manualLayout>
                  <c:x val="5.87962962962964E-3"/>
                  <c:y val="-1.941896024464832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C00-429D-B519-CF73E0D79F5A}"/>
                </c:ext>
              </c:extLst>
            </c:dLbl>
            <c:dLbl>
              <c:idx val="20"/>
              <c:layout>
                <c:manualLayout>
                  <c:x val="-2.5478395061728415E-2"/>
                  <c:y val="2.912844036697246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9C00-429D-B519-CF73E0D79F5A}"/>
                </c:ext>
              </c:extLst>
            </c:dLbl>
            <c:dLbl>
              <c:idx val="38"/>
              <c:layout>
                <c:manualLayout>
                  <c:x val="-7.8395061728395062E-3"/>
                  <c:y val="3.883792048929663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9C00-429D-B519-CF73E0D79F5A}"/>
                </c:ext>
              </c:extLst>
            </c:dLbl>
            <c:dLbl>
              <c:idx val="44"/>
              <c:layout>
                <c:manualLayout>
                  <c:x val="-2.3518518518518518E-2"/>
                  <c:y val="-4.207441386340469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9C00-429D-B519-CF73E0D79F5A}"/>
                </c:ext>
              </c:extLst>
            </c:dLbl>
            <c:dLbl>
              <c:idx val="53"/>
              <c:layout>
                <c:manualLayout>
                  <c:x val="-7.8395061728395114E-3"/>
                  <c:y val="-3.883792048929664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9C00-429D-B519-CF73E0D79F5A}"/>
                </c:ext>
              </c:extLst>
            </c:dLbl>
            <c:dLbl>
              <c:idx val="63"/>
              <c:layout>
                <c:manualLayout>
                  <c:x val="-2.3731944444444444E-2"/>
                  <c:y val="-3.6483690112130478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9C00-429D-B519-CF73E0D79F5A}"/>
                </c:ext>
              </c:extLst>
            </c:dLbl>
            <c:dLbl>
              <c:idx val="69"/>
              <c:layout>
                <c:manualLayout>
                  <c:x val="-2.7438271604938291E-2"/>
                  <c:y val="2.912844036697246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9C00-429D-B519-CF73E0D79F5A}"/>
                </c:ext>
              </c:extLst>
            </c:dLbl>
            <c:dLbl>
              <c:idx val="86"/>
              <c:tx>
                <c:rich>
                  <a:bodyPr/>
                  <a:lstStyle/>
                  <a:p>
                    <a:r>
                      <a:rPr lang="en-US" sz="700">
                        <a:latin typeface="Times New Roman" pitchFamily="18" charset="0"/>
                        <a:cs typeface="Times New Roman" pitchFamily="18" charset="0"/>
                      </a:rPr>
                      <a:t>4.00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9C00-429D-B519-CF73E0D79F5A}"/>
                </c:ext>
              </c:extLst>
            </c:dLbl>
            <c:dLbl>
              <c:idx val="92"/>
              <c:layout>
                <c:manualLayout>
                  <c:x val="0"/>
                  <c:y val="-1.294597349643221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9C00-429D-B519-CF73E0D79F5A}"/>
                </c:ext>
              </c:extLst>
            </c:dLbl>
            <c:dLbl>
              <c:idx val="114"/>
              <c:layout>
                <c:manualLayout>
                  <c:x val="5.8796296296296296E-3"/>
                  <c:y val="-9.709480122324218E-3"/>
                </c:manualLayout>
              </c:layout>
              <c:tx>
                <c:rich>
                  <a:bodyPr/>
                  <a:lstStyle/>
                  <a:p>
                    <a:r>
                      <a:rPr lang="en-US" sz="700">
                        <a:latin typeface="Times New Roman" pitchFamily="18" charset="0"/>
                        <a:cs typeface="Times New Roman" pitchFamily="18" charset="0"/>
                      </a:rPr>
                      <a:t>3.00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9C00-429D-B519-CF73E0D79F5A}"/>
                </c:ext>
              </c:extLst>
            </c:dLbl>
            <c:dLbl>
              <c:idx val="119"/>
              <c:layout>
                <c:manualLayout>
                  <c:x val="0.11544921446937259"/>
                  <c:y val="-4.55230676312694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9C00-429D-B519-CF73E0D79F5A}"/>
                </c:ext>
              </c:extLst>
            </c:dLbl>
            <c:spPr>
              <a:noFill/>
              <a:ln>
                <a:noFill/>
              </a:ln>
              <a:effectLst/>
            </c:spPr>
            <c:txPr>
              <a:bodyPr/>
              <a:lstStyle/>
              <a:p>
                <a:pPr>
                  <a:defRPr sz="700">
                    <a:latin typeface="Times New Roman" pitchFamily="18" charset="0"/>
                    <a:cs typeface="Times New Roman" pitchFamily="18" charset="0"/>
                  </a:defRPr>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'Tasa lider'!$B$6:$B$149</c:f>
              <c:numCache>
                <c:formatCode>mmm\-yy</c:formatCode>
                <c:ptCount val="144"/>
                <c:pt idx="0">
                  <c:v>39448</c:v>
                </c:pt>
                <c:pt idx="1">
                  <c:v>39479</c:v>
                </c:pt>
                <c:pt idx="2">
                  <c:v>39508</c:v>
                </c:pt>
                <c:pt idx="3">
                  <c:v>39539</c:v>
                </c:pt>
                <c:pt idx="4">
                  <c:v>39569</c:v>
                </c:pt>
                <c:pt idx="5">
                  <c:v>39600</c:v>
                </c:pt>
                <c:pt idx="6">
                  <c:v>39630</c:v>
                </c:pt>
                <c:pt idx="7">
                  <c:v>39661</c:v>
                </c:pt>
                <c:pt idx="8">
                  <c:v>39692</c:v>
                </c:pt>
                <c:pt idx="9">
                  <c:v>39722</c:v>
                </c:pt>
                <c:pt idx="10">
                  <c:v>39753</c:v>
                </c:pt>
                <c:pt idx="11">
                  <c:v>39783</c:v>
                </c:pt>
                <c:pt idx="12">
                  <c:v>39814</c:v>
                </c:pt>
                <c:pt idx="13">
                  <c:v>39845</c:v>
                </c:pt>
                <c:pt idx="14">
                  <c:v>39873</c:v>
                </c:pt>
                <c:pt idx="15">
                  <c:v>39904</c:v>
                </c:pt>
                <c:pt idx="16">
                  <c:v>39934</c:v>
                </c:pt>
                <c:pt idx="17">
                  <c:v>39965</c:v>
                </c:pt>
                <c:pt idx="18">
                  <c:v>39995</c:v>
                </c:pt>
                <c:pt idx="19">
                  <c:v>40026</c:v>
                </c:pt>
                <c:pt idx="20">
                  <c:v>40057</c:v>
                </c:pt>
                <c:pt idx="21">
                  <c:v>40087</c:v>
                </c:pt>
                <c:pt idx="22">
                  <c:v>40118</c:v>
                </c:pt>
                <c:pt idx="23">
                  <c:v>40148</c:v>
                </c:pt>
                <c:pt idx="24">
                  <c:v>40179</c:v>
                </c:pt>
                <c:pt idx="25">
                  <c:v>40210</c:v>
                </c:pt>
                <c:pt idx="26">
                  <c:v>40238</c:v>
                </c:pt>
                <c:pt idx="27">
                  <c:v>40269</c:v>
                </c:pt>
                <c:pt idx="28">
                  <c:v>40299</c:v>
                </c:pt>
                <c:pt idx="29">
                  <c:v>40330</c:v>
                </c:pt>
                <c:pt idx="30">
                  <c:v>40360</c:v>
                </c:pt>
                <c:pt idx="31">
                  <c:v>40391</c:v>
                </c:pt>
                <c:pt idx="32">
                  <c:v>40422</c:v>
                </c:pt>
                <c:pt idx="33">
                  <c:v>40452</c:v>
                </c:pt>
                <c:pt idx="34">
                  <c:v>40483</c:v>
                </c:pt>
                <c:pt idx="35">
                  <c:v>40513</c:v>
                </c:pt>
                <c:pt idx="36">
                  <c:v>40544</c:v>
                </c:pt>
                <c:pt idx="37">
                  <c:v>40575</c:v>
                </c:pt>
                <c:pt idx="38">
                  <c:v>40603</c:v>
                </c:pt>
                <c:pt idx="39">
                  <c:v>40634</c:v>
                </c:pt>
                <c:pt idx="40">
                  <c:v>40664</c:v>
                </c:pt>
                <c:pt idx="41">
                  <c:v>40695</c:v>
                </c:pt>
                <c:pt idx="42">
                  <c:v>40725</c:v>
                </c:pt>
                <c:pt idx="43">
                  <c:v>40756</c:v>
                </c:pt>
                <c:pt idx="44">
                  <c:v>40787</c:v>
                </c:pt>
                <c:pt idx="45">
                  <c:v>40817</c:v>
                </c:pt>
                <c:pt idx="46">
                  <c:v>40848</c:v>
                </c:pt>
                <c:pt idx="47">
                  <c:v>40878</c:v>
                </c:pt>
                <c:pt idx="48">
                  <c:v>40909</c:v>
                </c:pt>
                <c:pt idx="49">
                  <c:v>40940</c:v>
                </c:pt>
                <c:pt idx="50">
                  <c:v>40969</c:v>
                </c:pt>
                <c:pt idx="51">
                  <c:v>41000</c:v>
                </c:pt>
                <c:pt idx="52">
                  <c:v>41030</c:v>
                </c:pt>
                <c:pt idx="53">
                  <c:v>41061</c:v>
                </c:pt>
                <c:pt idx="54">
                  <c:v>41091</c:v>
                </c:pt>
                <c:pt idx="55">
                  <c:v>41122</c:v>
                </c:pt>
                <c:pt idx="56">
                  <c:v>41153</c:v>
                </c:pt>
                <c:pt idx="57">
                  <c:v>41183</c:v>
                </c:pt>
                <c:pt idx="58">
                  <c:v>41214</c:v>
                </c:pt>
                <c:pt idx="59">
                  <c:v>41244</c:v>
                </c:pt>
                <c:pt idx="60">
                  <c:v>41275</c:v>
                </c:pt>
                <c:pt idx="61">
                  <c:v>41306</c:v>
                </c:pt>
                <c:pt idx="62">
                  <c:v>41334</c:v>
                </c:pt>
                <c:pt idx="63">
                  <c:v>41365</c:v>
                </c:pt>
                <c:pt idx="64">
                  <c:v>41395</c:v>
                </c:pt>
                <c:pt idx="65">
                  <c:v>41426</c:v>
                </c:pt>
                <c:pt idx="66">
                  <c:v>41456</c:v>
                </c:pt>
                <c:pt idx="67">
                  <c:v>41487</c:v>
                </c:pt>
                <c:pt idx="68">
                  <c:v>41518</c:v>
                </c:pt>
                <c:pt idx="69">
                  <c:v>41548</c:v>
                </c:pt>
                <c:pt idx="70">
                  <c:v>41579</c:v>
                </c:pt>
                <c:pt idx="71">
                  <c:v>41609</c:v>
                </c:pt>
                <c:pt idx="72">
                  <c:v>41640</c:v>
                </c:pt>
                <c:pt idx="73">
                  <c:v>41671</c:v>
                </c:pt>
                <c:pt idx="74">
                  <c:v>41699</c:v>
                </c:pt>
                <c:pt idx="75">
                  <c:v>41730</c:v>
                </c:pt>
                <c:pt idx="76">
                  <c:v>41760</c:v>
                </c:pt>
                <c:pt idx="77">
                  <c:v>41791</c:v>
                </c:pt>
                <c:pt idx="78">
                  <c:v>41821</c:v>
                </c:pt>
                <c:pt idx="79">
                  <c:v>41852</c:v>
                </c:pt>
                <c:pt idx="80">
                  <c:v>41883</c:v>
                </c:pt>
                <c:pt idx="81">
                  <c:v>41913</c:v>
                </c:pt>
                <c:pt idx="82">
                  <c:v>41944</c:v>
                </c:pt>
                <c:pt idx="83">
                  <c:v>41974</c:v>
                </c:pt>
                <c:pt idx="84">
                  <c:v>42005</c:v>
                </c:pt>
                <c:pt idx="85">
                  <c:v>42036</c:v>
                </c:pt>
                <c:pt idx="86">
                  <c:v>42064</c:v>
                </c:pt>
                <c:pt idx="87">
                  <c:v>42095</c:v>
                </c:pt>
                <c:pt idx="88">
                  <c:v>42125</c:v>
                </c:pt>
                <c:pt idx="89">
                  <c:v>42156</c:v>
                </c:pt>
                <c:pt idx="90">
                  <c:v>42186</c:v>
                </c:pt>
                <c:pt idx="91">
                  <c:v>42217</c:v>
                </c:pt>
                <c:pt idx="92">
                  <c:v>42248</c:v>
                </c:pt>
                <c:pt idx="93">
                  <c:v>42278</c:v>
                </c:pt>
                <c:pt idx="94">
                  <c:v>42309</c:v>
                </c:pt>
                <c:pt idx="95">
                  <c:v>42339</c:v>
                </c:pt>
                <c:pt idx="96">
                  <c:v>42370</c:v>
                </c:pt>
                <c:pt idx="97">
                  <c:v>42401</c:v>
                </c:pt>
                <c:pt idx="98">
                  <c:v>42430</c:v>
                </c:pt>
                <c:pt idx="99">
                  <c:v>42461</c:v>
                </c:pt>
                <c:pt idx="100">
                  <c:v>42491</c:v>
                </c:pt>
                <c:pt idx="101">
                  <c:v>42522</c:v>
                </c:pt>
                <c:pt idx="102">
                  <c:v>42552</c:v>
                </c:pt>
                <c:pt idx="103">
                  <c:v>42583</c:v>
                </c:pt>
                <c:pt idx="104">
                  <c:v>42614</c:v>
                </c:pt>
                <c:pt idx="105">
                  <c:v>42644</c:v>
                </c:pt>
                <c:pt idx="106">
                  <c:v>42675</c:v>
                </c:pt>
                <c:pt idx="107">
                  <c:v>42705</c:v>
                </c:pt>
                <c:pt idx="108">
                  <c:v>42736</c:v>
                </c:pt>
                <c:pt idx="109">
                  <c:v>42767</c:v>
                </c:pt>
                <c:pt idx="110">
                  <c:v>42795</c:v>
                </c:pt>
                <c:pt idx="111">
                  <c:v>42826</c:v>
                </c:pt>
                <c:pt idx="112">
                  <c:v>42856</c:v>
                </c:pt>
                <c:pt idx="113">
                  <c:v>42887</c:v>
                </c:pt>
                <c:pt idx="114">
                  <c:v>42917</c:v>
                </c:pt>
                <c:pt idx="115">
                  <c:v>42948</c:v>
                </c:pt>
                <c:pt idx="116">
                  <c:v>42979</c:v>
                </c:pt>
                <c:pt idx="117">
                  <c:v>43009</c:v>
                </c:pt>
                <c:pt idx="118">
                  <c:v>43040</c:v>
                </c:pt>
                <c:pt idx="119">
                  <c:v>43070</c:v>
                </c:pt>
                <c:pt idx="120">
                  <c:v>43101</c:v>
                </c:pt>
                <c:pt idx="121">
                  <c:v>43132</c:v>
                </c:pt>
                <c:pt idx="122">
                  <c:v>43160</c:v>
                </c:pt>
                <c:pt idx="123">
                  <c:v>43191</c:v>
                </c:pt>
                <c:pt idx="124">
                  <c:v>43221</c:v>
                </c:pt>
                <c:pt idx="125">
                  <c:v>43252</c:v>
                </c:pt>
                <c:pt idx="126">
                  <c:v>43282</c:v>
                </c:pt>
                <c:pt idx="127">
                  <c:v>43313</c:v>
                </c:pt>
                <c:pt idx="128">
                  <c:v>43344</c:v>
                </c:pt>
                <c:pt idx="129">
                  <c:v>43374</c:v>
                </c:pt>
                <c:pt idx="130">
                  <c:v>43405</c:v>
                </c:pt>
                <c:pt idx="131">
                  <c:v>43435</c:v>
                </c:pt>
                <c:pt idx="132">
                  <c:v>43466</c:v>
                </c:pt>
                <c:pt idx="133">
                  <c:v>43497</c:v>
                </c:pt>
                <c:pt idx="134">
                  <c:v>43525</c:v>
                </c:pt>
                <c:pt idx="135">
                  <c:v>43556</c:v>
                </c:pt>
                <c:pt idx="136">
                  <c:v>43586</c:v>
                </c:pt>
                <c:pt idx="137">
                  <c:v>43617</c:v>
                </c:pt>
                <c:pt idx="138">
                  <c:v>43647</c:v>
                </c:pt>
                <c:pt idx="139">
                  <c:v>43678</c:v>
                </c:pt>
                <c:pt idx="140">
                  <c:v>43709</c:v>
                </c:pt>
                <c:pt idx="141">
                  <c:v>43739</c:v>
                </c:pt>
                <c:pt idx="142">
                  <c:v>43770</c:v>
                </c:pt>
                <c:pt idx="143">
                  <c:v>43800</c:v>
                </c:pt>
              </c:numCache>
            </c:numRef>
          </c:cat>
          <c:val>
            <c:numRef>
              <c:f>'Tasa lider'!$C$6:$C$149</c:f>
              <c:numCache>
                <c:formatCode>0.00</c:formatCode>
                <c:ptCount val="144"/>
                <c:pt idx="0">
                  <c:v>6.5</c:v>
                </c:pt>
                <c:pt idx="1">
                  <c:v>6.5</c:v>
                </c:pt>
                <c:pt idx="2">
                  <c:v>6.75</c:v>
                </c:pt>
                <c:pt idx="3">
                  <c:v>6.75</c:v>
                </c:pt>
                <c:pt idx="4">
                  <c:v>6.75</c:v>
                </c:pt>
                <c:pt idx="5">
                  <c:v>6.75</c:v>
                </c:pt>
                <c:pt idx="6">
                  <c:v>7.25</c:v>
                </c:pt>
                <c:pt idx="7">
                  <c:v>7.25</c:v>
                </c:pt>
                <c:pt idx="8">
                  <c:v>7.25</c:v>
                </c:pt>
                <c:pt idx="9">
                  <c:v>7.25</c:v>
                </c:pt>
                <c:pt idx="10">
                  <c:v>7.25</c:v>
                </c:pt>
                <c:pt idx="11">
                  <c:v>7.25</c:v>
                </c:pt>
                <c:pt idx="12">
                  <c:v>7</c:v>
                </c:pt>
                <c:pt idx="13">
                  <c:v>6.5</c:v>
                </c:pt>
                <c:pt idx="14">
                  <c:v>6.25</c:v>
                </c:pt>
                <c:pt idx="15">
                  <c:v>5.75</c:v>
                </c:pt>
                <c:pt idx="16">
                  <c:v>5.75</c:v>
                </c:pt>
                <c:pt idx="17">
                  <c:v>5.25</c:v>
                </c:pt>
                <c:pt idx="18">
                  <c:v>4.75</c:v>
                </c:pt>
                <c:pt idx="19">
                  <c:v>4.75</c:v>
                </c:pt>
                <c:pt idx="20">
                  <c:v>4.5</c:v>
                </c:pt>
                <c:pt idx="21">
                  <c:v>4.5</c:v>
                </c:pt>
                <c:pt idx="22">
                  <c:v>4.5</c:v>
                </c:pt>
                <c:pt idx="23">
                  <c:v>4.5</c:v>
                </c:pt>
                <c:pt idx="24">
                  <c:v>4.5</c:v>
                </c:pt>
                <c:pt idx="25">
                  <c:v>4.5</c:v>
                </c:pt>
                <c:pt idx="26">
                  <c:v>4.5</c:v>
                </c:pt>
                <c:pt idx="27">
                  <c:v>4.5</c:v>
                </c:pt>
                <c:pt idx="28">
                  <c:v>4.5</c:v>
                </c:pt>
                <c:pt idx="29">
                  <c:v>4.5</c:v>
                </c:pt>
                <c:pt idx="30">
                  <c:v>4.5</c:v>
                </c:pt>
                <c:pt idx="31">
                  <c:v>4.5</c:v>
                </c:pt>
                <c:pt idx="32">
                  <c:v>4.5</c:v>
                </c:pt>
                <c:pt idx="33">
                  <c:v>4.5</c:v>
                </c:pt>
                <c:pt idx="34">
                  <c:v>4.5</c:v>
                </c:pt>
                <c:pt idx="35">
                  <c:v>4.5</c:v>
                </c:pt>
                <c:pt idx="36">
                  <c:v>4.5</c:v>
                </c:pt>
                <c:pt idx="37">
                  <c:v>4.5</c:v>
                </c:pt>
                <c:pt idx="38">
                  <c:v>4.75</c:v>
                </c:pt>
                <c:pt idx="39">
                  <c:v>4.75</c:v>
                </c:pt>
                <c:pt idx="40">
                  <c:v>4.75</c:v>
                </c:pt>
                <c:pt idx="41">
                  <c:v>4.75</c:v>
                </c:pt>
                <c:pt idx="42">
                  <c:v>5</c:v>
                </c:pt>
                <c:pt idx="43">
                  <c:v>5</c:v>
                </c:pt>
                <c:pt idx="44">
                  <c:v>5.5</c:v>
                </c:pt>
                <c:pt idx="45">
                  <c:v>5.5</c:v>
                </c:pt>
                <c:pt idx="46">
                  <c:v>5.5</c:v>
                </c:pt>
                <c:pt idx="47">
                  <c:v>5.5</c:v>
                </c:pt>
                <c:pt idx="48">
                  <c:v>5.5</c:v>
                </c:pt>
                <c:pt idx="49">
                  <c:v>5.5</c:v>
                </c:pt>
                <c:pt idx="50">
                  <c:v>5.5</c:v>
                </c:pt>
                <c:pt idx="51">
                  <c:v>5.5</c:v>
                </c:pt>
                <c:pt idx="52">
                  <c:v>5.5</c:v>
                </c:pt>
                <c:pt idx="53">
                  <c:v>5</c:v>
                </c:pt>
                <c:pt idx="54">
                  <c:v>5</c:v>
                </c:pt>
                <c:pt idx="55">
                  <c:v>5</c:v>
                </c:pt>
                <c:pt idx="56">
                  <c:v>5</c:v>
                </c:pt>
                <c:pt idx="57">
                  <c:v>5</c:v>
                </c:pt>
                <c:pt idx="58">
                  <c:v>5</c:v>
                </c:pt>
                <c:pt idx="59">
                  <c:v>5</c:v>
                </c:pt>
                <c:pt idx="60">
                  <c:v>5</c:v>
                </c:pt>
                <c:pt idx="61">
                  <c:v>5</c:v>
                </c:pt>
                <c:pt idx="62">
                  <c:v>5</c:v>
                </c:pt>
                <c:pt idx="63">
                  <c:v>5.25</c:v>
                </c:pt>
                <c:pt idx="64">
                  <c:v>5.25</c:v>
                </c:pt>
                <c:pt idx="65">
                  <c:v>5.25</c:v>
                </c:pt>
                <c:pt idx="66">
                  <c:v>5.25</c:v>
                </c:pt>
                <c:pt idx="67">
                  <c:v>5.25</c:v>
                </c:pt>
                <c:pt idx="68">
                  <c:v>5.25</c:v>
                </c:pt>
                <c:pt idx="69">
                  <c:v>5</c:v>
                </c:pt>
                <c:pt idx="70">
                  <c:v>5</c:v>
                </c:pt>
                <c:pt idx="71">
                  <c:v>5</c:v>
                </c:pt>
                <c:pt idx="72">
                  <c:v>5</c:v>
                </c:pt>
                <c:pt idx="73">
                  <c:v>5</c:v>
                </c:pt>
                <c:pt idx="74">
                  <c:v>5</c:v>
                </c:pt>
                <c:pt idx="75" formatCode="General">
                  <c:v>5</c:v>
                </c:pt>
                <c:pt idx="76" formatCode="General">
                  <c:v>4.75</c:v>
                </c:pt>
                <c:pt idx="77" formatCode="General">
                  <c:v>4.75</c:v>
                </c:pt>
                <c:pt idx="78" formatCode="General">
                  <c:v>4.75</c:v>
                </c:pt>
                <c:pt idx="79" formatCode="General">
                  <c:v>4.5</c:v>
                </c:pt>
                <c:pt idx="80" formatCode="General">
                  <c:v>4.5</c:v>
                </c:pt>
                <c:pt idx="81" formatCode="General">
                  <c:v>4.5</c:v>
                </c:pt>
                <c:pt idx="82" formatCode="General">
                  <c:v>4</c:v>
                </c:pt>
                <c:pt idx="83" formatCode="General">
                  <c:v>4</c:v>
                </c:pt>
                <c:pt idx="84" formatCode="General">
                  <c:v>4</c:v>
                </c:pt>
                <c:pt idx="85" formatCode="General">
                  <c:v>4</c:v>
                </c:pt>
                <c:pt idx="86" formatCode="General">
                  <c:v>4</c:v>
                </c:pt>
                <c:pt idx="87" formatCode="General">
                  <c:v>4</c:v>
                </c:pt>
                <c:pt idx="88" formatCode="General">
                  <c:v>3.5</c:v>
                </c:pt>
                <c:pt idx="89" formatCode="General">
                  <c:v>3.5</c:v>
                </c:pt>
                <c:pt idx="90" formatCode="General">
                  <c:v>3.5</c:v>
                </c:pt>
                <c:pt idx="91" formatCode="General">
                  <c:v>3.25</c:v>
                </c:pt>
                <c:pt idx="92" formatCode="General">
                  <c:v>3.25</c:v>
                </c:pt>
                <c:pt idx="93" formatCode="General">
                  <c:v>3.25</c:v>
                </c:pt>
                <c:pt idx="94" formatCode="General">
                  <c:v>3</c:v>
                </c:pt>
                <c:pt idx="95" formatCode="General">
                  <c:v>3</c:v>
                </c:pt>
                <c:pt idx="96" formatCode="General">
                  <c:v>3</c:v>
                </c:pt>
                <c:pt idx="97" formatCode="General">
                  <c:v>3</c:v>
                </c:pt>
                <c:pt idx="98" formatCode="General">
                  <c:v>3</c:v>
                </c:pt>
                <c:pt idx="99" formatCode="General">
                  <c:v>3</c:v>
                </c:pt>
                <c:pt idx="100" formatCode="General">
                  <c:v>3</c:v>
                </c:pt>
                <c:pt idx="101" formatCode="General">
                  <c:v>3</c:v>
                </c:pt>
                <c:pt idx="102" formatCode="General">
                  <c:v>3</c:v>
                </c:pt>
                <c:pt idx="103" formatCode="General">
                  <c:v>3</c:v>
                </c:pt>
                <c:pt idx="104" formatCode="General">
                  <c:v>3</c:v>
                </c:pt>
                <c:pt idx="105" formatCode="General">
                  <c:v>3</c:v>
                </c:pt>
                <c:pt idx="106" formatCode="General">
                  <c:v>3</c:v>
                </c:pt>
                <c:pt idx="107" formatCode="General">
                  <c:v>3</c:v>
                </c:pt>
                <c:pt idx="108" formatCode="General">
                  <c:v>3</c:v>
                </c:pt>
                <c:pt idx="109" formatCode="General">
                  <c:v>3</c:v>
                </c:pt>
                <c:pt idx="110" formatCode="General">
                  <c:v>3</c:v>
                </c:pt>
                <c:pt idx="111" formatCode="General">
                  <c:v>3</c:v>
                </c:pt>
                <c:pt idx="112" formatCode="General">
                  <c:v>3</c:v>
                </c:pt>
                <c:pt idx="113" formatCode="General">
                  <c:v>3</c:v>
                </c:pt>
                <c:pt idx="114" formatCode="General">
                  <c:v>3</c:v>
                </c:pt>
                <c:pt idx="115" formatCode="General">
                  <c:v>3</c:v>
                </c:pt>
                <c:pt idx="116" formatCode="General">
                  <c:v>3</c:v>
                </c:pt>
                <c:pt idx="117" formatCode="General">
                  <c:v>2.75</c:v>
                </c:pt>
                <c:pt idx="118" formatCode="General">
                  <c:v>2.75</c:v>
                </c:pt>
                <c:pt idx="119" formatCode="General">
                  <c:v>2.75</c:v>
                </c:pt>
                <c:pt idx="120" formatCode="General">
                  <c:v>2.75</c:v>
                </c:pt>
                <c:pt idx="121" formatCode="General">
                  <c:v>2.75</c:v>
                </c:pt>
                <c:pt idx="122" formatCode="General">
                  <c:v>2.75</c:v>
                </c:pt>
                <c:pt idx="123" formatCode="General">
                  <c:v>2.75</c:v>
                </c:pt>
                <c:pt idx="124" formatCode="General">
                  <c:v>2.75</c:v>
                </c:pt>
                <c:pt idx="125" formatCode="General">
                  <c:v>2.75</c:v>
                </c:pt>
                <c:pt idx="126" formatCode="General">
                  <c:v>2.75</c:v>
                </c:pt>
                <c:pt idx="127" formatCode="General">
                  <c:v>2.75</c:v>
                </c:pt>
                <c:pt idx="128" formatCode="General">
                  <c:v>2.75</c:v>
                </c:pt>
                <c:pt idx="129" formatCode="General">
                  <c:v>2.75</c:v>
                </c:pt>
                <c:pt idx="130" formatCode="General">
                  <c:v>2.75</c:v>
                </c:pt>
                <c:pt idx="131" formatCode="General">
                  <c:v>2.75</c:v>
                </c:pt>
                <c:pt idx="132" formatCode="General">
                  <c:v>2.75</c:v>
                </c:pt>
                <c:pt idx="133" formatCode="General">
                  <c:v>2.75</c:v>
                </c:pt>
                <c:pt idx="134" formatCode="General">
                  <c:v>2.75</c:v>
                </c:pt>
                <c:pt idx="135" formatCode="General">
                  <c:v>2.75</c:v>
                </c:pt>
                <c:pt idx="136" formatCode="General">
                  <c:v>2.75</c:v>
                </c:pt>
                <c:pt idx="137" formatCode="General">
                  <c:v>2.75</c:v>
                </c:pt>
                <c:pt idx="138" formatCode="General">
                  <c:v>2.75</c:v>
                </c:pt>
                <c:pt idx="139" formatCode="General">
                  <c:v>2.75</c:v>
                </c:pt>
                <c:pt idx="140" formatCode="General">
                  <c:v>2.75</c:v>
                </c:pt>
                <c:pt idx="141" formatCode="General">
                  <c:v>2.75</c:v>
                </c:pt>
                <c:pt idx="142" formatCode="General">
                  <c:v>2.75</c:v>
                </c:pt>
                <c:pt idx="143" formatCode="General">
                  <c:v>2.75</c:v>
                </c:pt>
              </c:numCache>
            </c:numRef>
          </c:val>
          <c:smooth val="1"/>
          <c:extLst xmlns:c16r2="http://schemas.microsoft.com/office/drawing/2015/06/chart">
            <c:ext xmlns:c16="http://schemas.microsoft.com/office/drawing/2014/chart" uri="{C3380CC4-5D6E-409C-BE32-E72D297353CC}">
              <c16:uniqueId val="{00000010-9C00-429D-B519-CF73E0D79F5A}"/>
            </c:ext>
          </c:extLst>
        </c:ser>
        <c:dLbls>
          <c:showLegendKey val="0"/>
          <c:showVal val="1"/>
          <c:showCatName val="0"/>
          <c:showSerName val="0"/>
          <c:showPercent val="0"/>
          <c:showBubbleSize val="0"/>
        </c:dLbls>
        <c:marker val="1"/>
        <c:smooth val="0"/>
        <c:axId val="260014080"/>
        <c:axId val="260015616"/>
      </c:lineChart>
      <c:dateAx>
        <c:axId val="260014080"/>
        <c:scaling>
          <c:orientation val="minMax"/>
        </c:scaling>
        <c:delete val="0"/>
        <c:axPos val="b"/>
        <c:numFmt formatCode="mmm\-yy" sourceLinked="1"/>
        <c:majorTickMark val="out"/>
        <c:minorTickMark val="none"/>
        <c:tickLblPos val="nextTo"/>
        <c:txPr>
          <a:bodyPr rot="-5400000" vert="horz"/>
          <a:lstStyle/>
          <a:p>
            <a:pPr>
              <a:defRPr lang="es-GT" sz="900"/>
            </a:pPr>
            <a:endParaRPr lang="es-GT"/>
          </a:p>
        </c:txPr>
        <c:crossAx val="260015616"/>
        <c:crosses val="autoZero"/>
        <c:auto val="1"/>
        <c:lblOffset val="100"/>
        <c:baseTimeUnit val="months"/>
        <c:majorUnit val="3"/>
        <c:majorTimeUnit val="months"/>
        <c:minorUnit val="3"/>
      </c:dateAx>
      <c:valAx>
        <c:axId val="260015616"/>
        <c:scaling>
          <c:orientation val="minMax"/>
        </c:scaling>
        <c:delete val="0"/>
        <c:axPos val="l"/>
        <c:numFmt formatCode="0.00" sourceLinked="1"/>
        <c:majorTickMark val="out"/>
        <c:minorTickMark val="none"/>
        <c:tickLblPos val="nextTo"/>
        <c:txPr>
          <a:bodyPr/>
          <a:lstStyle/>
          <a:p>
            <a:pPr>
              <a:defRPr lang="es-GT" sz="900"/>
            </a:pPr>
            <a:endParaRPr lang="es-GT"/>
          </a:p>
        </c:txPr>
        <c:crossAx val="260014080"/>
        <c:crosses val="autoZero"/>
        <c:crossBetween val="between"/>
      </c:valAx>
    </c:plotArea>
    <c:plotVisOnly val="1"/>
    <c:dispBlanksAs val="gap"/>
    <c:showDLblsOverMax val="0"/>
  </c:chart>
  <c:spPr>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0318885372973236E-2"/>
          <c:y val="2.0572140254312872E-2"/>
          <c:w val="0.88437243532367371"/>
          <c:h val="0.85012079154299913"/>
        </c:manualLayout>
      </c:layout>
      <c:lineChart>
        <c:grouping val="standard"/>
        <c:varyColors val="0"/>
        <c:ser>
          <c:idx val="0"/>
          <c:order val="0"/>
          <c:marker>
            <c:symbol val="none"/>
          </c:marker>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F29-4887-94B1-2707A7C713C8}"/>
                </c:ext>
              </c:extLst>
            </c:dLbl>
            <c:dLbl>
              <c:idx val="90"/>
              <c:layout>
                <c:manualLayout>
                  <c:x val="-1.4475269578150372E-2"/>
                  <c:y val="6.067171574243343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F29-4887-94B1-2707A7C713C8}"/>
                </c:ext>
              </c:extLst>
            </c:dLbl>
            <c:dLbl>
              <c:idx val="107"/>
              <c:layout>
                <c:manualLayout>
                  <c:x val="-3.3944331296673458E-2"/>
                  <c:y val="-9.919871477022551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F29-4887-94B1-2707A7C713C8}"/>
                </c:ext>
              </c:extLst>
            </c:dLbl>
            <c:dLbl>
              <c:idx val="119"/>
              <c:layout>
                <c:manualLayout>
                  <c:x val="0"/>
                  <c:y val="5.200432777922860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F29-4887-94B1-2707A7C713C8}"/>
                </c:ext>
              </c:extLst>
            </c:dLbl>
            <c:spPr>
              <a:noFill/>
              <a:ln>
                <a:noFill/>
              </a:ln>
              <a:effectLst/>
            </c:spPr>
            <c:txPr>
              <a:bodyPr/>
              <a:lstStyle/>
              <a:p>
                <a:pPr>
                  <a:defRPr sz="700">
                    <a:latin typeface="Times New Roman" pitchFamily="18" charset="0"/>
                    <a:cs typeface="Times New Roman" pitchFamily="18" charset="0"/>
                  </a:defRPr>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'Tipo de cambio '!$B$27:$B$146</c:f>
              <c:numCache>
                <c:formatCode>mmm\-yy</c:formatCode>
                <c:ptCount val="120"/>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pt idx="45">
                  <c:v>41548</c:v>
                </c:pt>
                <c:pt idx="46">
                  <c:v>41579</c:v>
                </c:pt>
                <c:pt idx="47">
                  <c:v>41609</c:v>
                </c:pt>
                <c:pt idx="48">
                  <c:v>41640</c:v>
                </c:pt>
                <c:pt idx="49">
                  <c:v>41671</c:v>
                </c:pt>
                <c:pt idx="50">
                  <c:v>41699</c:v>
                </c:pt>
                <c:pt idx="51">
                  <c:v>41730</c:v>
                </c:pt>
                <c:pt idx="52">
                  <c:v>41760</c:v>
                </c:pt>
                <c:pt idx="53">
                  <c:v>41791</c:v>
                </c:pt>
                <c:pt idx="54">
                  <c:v>41821</c:v>
                </c:pt>
                <c:pt idx="55">
                  <c:v>41852</c:v>
                </c:pt>
                <c:pt idx="56">
                  <c:v>41883</c:v>
                </c:pt>
                <c:pt idx="57">
                  <c:v>41913</c:v>
                </c:pt>
                <c:pt idx="58">
                  <c:v>41944</c:v>
                </c:pt>
                <c:pt idx="59">
                  <c:v>41974</c:v>
                </c:pt>
                <c:pt idx="60">
                  <c:v>42005</c:v>
                </c:pt>
                <c:pt idx="61">
                  <c:v>42036</c:v>
                </c:pt>
                <c:pt idx="62">
                  <c:v>42064</c:v>
                </c:pt>
                <c:pt idx="63">
                  <c:v>42095</c:v>
                </c:pt>
                <c:pt idx="64">
                  <c:v>42125</c:v>
                </c:pt>
                <c:pt idx="65">
                  <c:v>42156</c:v>
                </c:pt>
                <c:pt idx="66">
                  <c:v>42186</c:v>
                </c:pt>
                <c:pt idx="67">
                  <c:v>42217</c:v>
                </c:pt>
                <c:pt idx="68">
                  <c:v>42248</c:v>
                </c:pt>
                <c:pt idx="69">
                  <c:v>42278</c:v>
                </c:pt>
                <c:pt idx="70">
                  <c:v>42309</c:v>
                </c:pt>
                <c:pt idx="71">
                  <c:v>42339</c:v>
                </c:pt>
                <c:pt idx="72">
                  <c:v>42370</c:v>
                </c:pt>
                <c:pt idx="73">
                  <c:v>42401</c:v>
                </c:pt>
                <c:pt idx="74">
                  <c:v>42430</c:v>
                </c:pt>
                <c:pt idx="75">
                  <c:v>42461</c:v>
                </c:pt>
                <c:pt idx="76">
                  <c:v>42491</c:v>
                </c:pt>
                <c:pt idx="77">
                  <c:v>42522</c:v>
                </c:pt>
                <c:pt idx="78">
                  <c:v>42552</c:v>
                </c:pt>
                <c:pt idx="79">
                  <c:v>42583</c:v>
                </c:pt>
                <c:pt idx="80">
                  <c:v>42614</c:v>
                </c:pt>
                <c:pt idx="81">
                  <c:v>42644</c:v>
                </c:pt>
                <c:pt idx="82">
                  <c:v>42675</c:v>
                </c:pt>
                <c:pt idx="83">
                  <c:v>42705</c:v>
                </c:pt>
                <c:pt idx="84">
                  <c:v>42736</c:v>
                </c:pt>
                <c:pt idx="85">
                  <c:v>42767</c:v>
                </c:pt>
                <c:pt idx="86">
                  <c:v>42795</c:v>
                </c:pt>
                <c:pt idx="87">
                  <c:v>42826</c:v>
                </c:pt>
                <c:pt idx="88">
                  <c:v>42856</c:v>
                </c:pt>
                <c:pt idx="89">
                  <c:v>42887</c:v>
                </c:pt>
                <c:pt idx="90">
                  <c:v>42917</c:v>
                </c:pt>
                <c:pt idx="91">
                  <c:v>42948</c:v>
                </c:pt>
                <c:pt idx="92">
                  <c:v>42979</c:v>
                </c:pt>
                <c:pt idx="93">
                  <c:v>43009</c:v>
                </c:pt>
                <c:pt idx="94">
                  <c:v>43040</c:v>
                </c:pt>
                <c:pt idx="95">
                  <c:v>43070</c:v>
                </c:pt>
                <c:pt idx="96">
                  <c:v>43101</c:v>
                </c:pt>
                <c:pt idx="97">
                  <c:v>43132</c:v>
                </c:pt>
                <c:pt idx="98">
                  <c:v>43160</c:v>
                </c:pt>
                <c:pt idx="99">
                  <c:v>43191</c:v>
                </c:pt>
                <c:pt idx="100">
                  <c:v>43221</c:v>
                </c:pt>
                <c:pt idx="101">
                  <c:v>43252</c:v>
                </c:pt>
                <c:pt idx="102">
                  <c:v>43282</c:v>
                </c:pt>
                <c:pt idx="103">
                  <c:v>43313</c:v>
                </c:pt>
                <c:pt idx="104">
                  <c:v>43344</c:v>
                </c:pt>
                <c:pt idx="105">
                  <c:v>43374</c:v>
                </c:pt>
                <c:pt idx="106">
                  <c:v>43405</c:v>
                </c:pt>
                <c:pt idx="107">
                  <c:v>43435</c:v>
                </c:pt>
                <c:pt idx="108">
                  <c:v>43466</c:v>
                </c:pt>
                <c:pt idx="109">
                  <c:v>43497</c:v>
                </c:pt>
                <c:pt idx="110">
                  <c:v>43525</c:v>
                </c:pt>
                <c:pt idx="111">
                  <c:v>43556</c:v>
                </c:pt>
                <c:pt idx="112">
                  <c:v>43586</c:v>
                </c:pt>
                <c:pt idx="113">
                  <c:v>43617</c:v>
                </c:pt>
                <c:pt idx="114">
                  <c:v>43647</c:v>
                </c:pt>
                <c:pt idx="115">
                  <c:v>43678</c:v>
                </c:pt>
                <c:pt idx="116">
                  <c:v>43709</c:v>
                </c:pt>
                <c:pt idx="117">
                  <c:v>43739</c:v>
                </c:pt>
                <c:pt idx="118">
                  <c:v>43770</c:v>
                </c:pt>
                <c:pt idx="119">
                  <c:v>43800</c:v>
                </c:pt>
              </c:numCache>
            </c:numRef>
          </c:cat>
          <c:val>
            <c:numRef>
              <c:f>'Tipo de cambio '!$C$27:$C$146</c:f>
              <c:numCache>
                <c:formatCode>0.00</c:formatCode>
                <c:ptCount val="120"/>
                <c:pt idx="0">
                  <c:v>8.3563405085440845</c:v>
                </c:pt>
                <c:pt idx="1">
                  <c:v>8.1361262190342583</c:v>
                </c:pt>
                <c:pt idx="2">
                  <c:v>8.0103276904942504</c:v>
                </c:pt>
                <c:pt idx="3">
                  <c:v>7.9928449678823039</c:v>
                </c:pt>
                <c:pt idx="4">
                  <c:v>7.9879061949656069</c:v>
                </c:pt>
                <c:pt idx="5">
                  <c:v>7.998232545050775</c:v>
                </c:pt>
                <c:pt idx="6">
                  <c:v>7.9928722644768317</c:v>
                </c:pt>
                <c:pt idx="7">
                  <c:v>8.0027188003323708</c:v>
                </c:pt>
                <c:pt idx="8">
                  <c:v>8.0662812335430072</c:v>
                </c:pt>
                <c:pt idx="9">
                  <c:v>8.0445928590314288</c:v>
                </c:pt>
                <c:pt idx="10">
                  <c:v>7.9917860671898957</c:v>
                </c:pt>
                <c:pt idx="11">
                  <c:v>7.9644301855353854</c:v>
                </c:pt>
                <c:pt idx="12">
                  <c:v>7.9393789159906074</c:v>
                </c:pt>
                <c:pt idx="13">
                  <c:v>7.7936763178312587</c:v>
                </c:pt>
                <c:pt idx="14">
                  <c:v>7.6911755581721719</c:v>
                </c:pt>
                <c:pt idx="15">
                  <c:v>7.6033358616996631</c:v>
                </c:pt>
                <c:pt idx="16">
                  <c:v>7.6475691703619599</c:v>
                </c:pt>
                <c:pt idx="17">
                  <c:v>7.7763413607187584</c:v>
                </c:pt>
                <c:pt idx="18">
                  <c:v>7.7444513189947068</c:v>
                </c:pt>
                <c:pt idx="19">
                  <c:v>7.814848411557044</c:v>
                </c:pt>
                <c:pt idx="20">
                  <c:v>7.8399072397037912</c:v>
                </c:pt>
                <c:pt idx="21">
                  <c:v>7.8299174515732988</c:v>
                </c:pt>
                <c:pt idx="22">
                  <c:v>7.8008942040115947</c:v>
                </c:pt>
                <c:pt idx="23">
                  <c:v>7.7856076542219848</c:v>
                </c:pt>
                <c:pt idx="24">
                  <c:v>7.7961150438286015</c:v>
                </c:pt>
                <c:pt idx="25">
                  <c:v>7.7717156914712424</c:v>
                </c:pt>
                <c:pt idx="26">
                  <c:v>7.7114080377043663</c:v>
                </c:pt>
                <c:pt idx="27">
                  <c:v>7.7361698654414432</c:v>
                </c:pt>
                <c:pt idx="28">
                  <c:v>7.7713813450451523</c:v>
                </c:pt>
                <c:pt idx="29">
                  <c:v>7.8366949562429706</c:v>
                </c:pt>
                <c:pt idx="30">
                  <c:v>7.8116238113454335</c:v>
                </c:pt>
                <c:pt idx="31">
                  <c:v>7.8730184642662957</c:v>
                </c:pt>
                <c:pt idx="32">
                  <c:v>7.9600809529215901</c:v>
                </c:pt>
                <c:pt idx="33">
                  <c:v>7.8591272112229635</c:v>
                </c:pt>
                <c:pt idx="34">
                  <c:v>7.8577571624899534</c:v>
                </c:pt>
                <c:pt idx="35">
                  <c:v>7.8760996804198387</c:v>
                </c:pt>
                <c:pt idx="36">
                  <c:v>7.8676223145967352</c:v>
                </c:pt>
                <c:pt idx="37">
                  <c:v>7.8144026695091791</c:v>
                </c:pt>
                <c:pt idx="38">
                  <c:v>7.796449289985194</c:v>
                </c:pt>
                <c:pt idx="39">
                  <c:v>7.7833198003135866</c:v>
                </c:pt>
                <c:pt idx="40">
                  <c:v>7.7759057149550967</c:v>
                </c:pt>
                <c:pt idx="41">
                  <c:v>7.8050829379452455</c:v>
                </c:pt>
                <c:pt idx="42">
                  <c:v>7.8101543267547084</c:v>
                </c:pt>
                <c:pt idx="43">
                  <c:v>7.8872658086161449</c:v>
                </c:pt>
                <c:pt idx="44">
                  <c:v>7.9287701658764824</c:v>
                </c:pt>
                <c:pt idx="45">
                  <c:v>7.9452553613637473</c:v>
                </c:pt>
                <c:pt idx="46">
                  <c:v>7.8807803315772027</c:v>
                </c:pt>
                <c:pt idx="47">
                  <c:v>7.8470375175462435</c:v>
                </c:pt>
                <c:pt idx="48">
                  <c:v>7.8320838751031925</c:v>
                </c:pt>
                <c:pt idx="49">
                  <c:v>7.7452676742437232</c:v>
                </c:pt>
                <c:pt idx="50">
                  <c:v>7.716182521911791</c:v>
                </c:pt>
                <c:pt idx="51">
                  <c:v>7.7358942457094715</c:v>
                </c:pt>
                <c:pt idx="52">
                  <c:v>7.7238409151556899</c:v>
                </c:pt>
                <c:pt idx="53">
                  <c:v>7.794062106829351</c:v>
                </c:pt>
                <c:pt idx="54">
                  <c:v>7.7608612600678732</c:v>
                </c:pt>
                <c:pt idx="55">
                  <c:v>7.7919629649641315</c:v>
                </c:pt>
                <c:pt idx="56">
                  <c:v>7.7074095500672923</c:v>
                </c:pt>
                <c:pt idx="57">
                  <c:v>7.6263306051233331</c:v>
                </c:pt>
                <c:pt idx="58">
                  <c:v>7.6028563856662057</c:v>
                </c:pt>
                <c:pt idx="59">
                  <c:v>7.6081653145049968</c:v>
                </c:pt>
                <c:pt idx="60">
                  <c:v>7.6262052394466791</c:v>
                </c:pt>
                <c:pt idx="61">
                  <c:v>7.6279381066262442</c:v>
                </c:pt>
                <c:pt idx="62">
                  <c:v>7.6119953593981231</c:v>
                </c:pt>
                <c:pt idx="63">
                  <c:v>7.6911660585174326</c:v>
                </c:pt>
                <c:pt idx="64">
                  <c:v>7.6641498560319503</c:v>
                </c:pt>
                <c:pt idx="65">
                  <c:v>7.6322503878986696</c:v>
                </c:pt>
                <c:pt idx="66">
                  <c:v>7.6319384831389447</c:v>
                </c:pt>
                <c:pt idx="67">
                  <c:v>7.6324245517760358</c:v>
                </c:pt>
                <c:pt idx="68">
                  <c:v>7.673106284735578</c:v>
                </c:pt>
                <c:pt idx="69">
                  <c:v>7.6631081921590933</c:v>
                </c:pt>
                <c:pt idx="70">
                  <c:v>7.6253395894756046</c:v>
                </c:pt>
                <c:pt idx="71">
                  <c:v>7.5988045101869481</c:v>
                </c:pt>
                <c:pt idx="72">
                  <c:v>7.6329725883384123</c:v>
                </c:pt>
                <c:pt idx="73">
                  <c:v>7.6478810999684388</c:v>
                </c:pt>
                <c:pt idx="74">
                  <c:v>7.700474534516867</c:v>
                </c:pt>
                <c:pt idx="75">
                  <c:v>7.7148038979384106</c:v>
                </c:pt>
                <c:pt idx="76">
                  <c:v>7.6298602603550076</c:v>
                </c:pt>
                <c:pt idx="77">
                  <c:v>7.6243942616742704</c:v>
                </c:pt>
                <c:pt idx="78">
                  <c:v>7.5793320893025617</c:v>
                </c:pt>
                <c:pt idx="79">
                  <c:v>7.5175072133740928</c:v>
                </c:pt>
                <c:pt idx="80">
                  <c:v>7.5067242537140029</c:v>
                </c:pt>
                <c:pt idx="81">
                  <c:v>7.4790989328577018</c:v>
                </c:pt>
                <c:pt idx="82">
                  <c:v>7.4871738948605904</c:v>
                </c:pt>
                <c:pt idx="83">
                  <c:v>7.4869670540945377</c:v>
                </c:pt>
                <c:pt idx="84">
                  <c:v>7.4989221892102798</c:v>
                </c:pt>
                <c:pt idx="85">
                  <c:v>7.3861050975818427</c:v>
                </c:pt>
                <c:pt idx="86">
                  <c:v>7.34063</c:v>
                </c:pt>
                <c:pt idx="87">
                  <c:v>7.3209246234449914</c:v>
                </c:pt>
                <c:pt idx="88">
                  <c:v>7.3227859561962889</c:v>
                </c:pt>
                <c:pt idx="89">
                  <c:v>7.324765934062933</c:v>
                </c:pt>
                <c:pt idx="90">
                  <c:v>7.2821760166483491</c:v>
                </c:pt>
                <c:pt idx="91">
                  <c:v>7.2567996715469407</c:v>
                </c:pt>
                <c:pt idx="92">
                  <c:v>7.2866172843636399</c:v>
                </c:pt>
                <c:pt idx="93">
                  <c:v>7.32408950415142</c:v>
                </c:pt>
                <c:pt idx="94">
                  <c:v>7.3119034597787502</c:v>
                </c:pt>
                <c:pt idx="95">
                  <c:v>7.3228799999999996</c:v>
                </c:pt>
                <c:pt idx="96">
                  <c:v>7.3250900000000003</c:v>
                </c:pt>
                <c:pt idx="97">
                  <c:v>7.3437000000000001</c:v>
                </c:pt>
                <c:pt idx="98">
                  <c:v>7.3760000000000003</c:v>
                </c:pt>
                <c:pt idx="99">
                  <c:v>7.3854699999999998</c:v>
                </c:pt>
                <c:pt idx="100">
                  <c:v>7.4281600000000001</c:v>
                </c:pt>
                <c:pt idx="101">
                  <c:v>7.46997</c:v>
                </c:pt>
                <c:pt idx="102">
                  <c:v>7.4656900000000004</c:v>
                </c:pt>
                <c:pt idx="103">
                  <c:v>7.49099</c:v>
                </c:pt>
                <c:pt idx="104">
                  <c:v>7.6479100000000004</c:v>
                </c:pt>
                <c:pt idx="105">
                  <c:v>7.70871</c:v>
                </c:pt>
                <c:pt idx="106">
                  <c:v>7.67943</c:v>
                </c:pt>
                <c:pt idx="107">
                  <c:v>7.71333</c:v>
                </c:pt>
                <c:pt idx="108">
                  <c:v>7.7131499999999997</c:v>
                </c:pt>
                <c:pt idx="109">
                  <c:v>7.7141200000000003</c:v>
                </c:pt>
                <c:pt idx="110">
                  <c:v>7.6693800000000003</c:v>
                </c:pt>
                <c:pt idx="111">
                  <c:v>7.6245700000000003</c:v>
                </c:pt>
                <c:pt idx="112">
                  <c:v>7.65238</c:v>
                </c:pt>
                <c:pt idx="113">
                  <c:v>7.6838300000000004</c:v>
                </c:pt>
                <c:pt idx="114">
                  <c:v>7.6551099999999996</c:v>
                </c:pt>
                <c:pt idx="115">
                  <c:v>7.6528999999999998</c:v>
                </c:pt>
                <c:pt idx="116">
                  <c:v>7.6917900000000001</c:v>
                </c:pt>
                <c:pt idx="117">
                  <c:v>7.7392000000000003</c:v>
                </c:pt>
                <c:pt idx="118">
                  <c:v>7.6848799999999997</c:v>
                </c:pt>
                <c:pt idx="119">
                  <c:v>7.6698399999999998</c:v>
                </c:pt>
              </c:numCache>
            </c:numRef>
          </c:val>
          <c:smooth val="0"/>
          <c:extLst xmlns:c16r2="http://schemas.microsoft.com/office/drawing/2015/06/chart">
            <c:ext xmlns:c16="http://schemas.microsoft.com/office/drawing/2014/chart" uri="{C3380CC4-5D6E-409C-BE32-E72D297353CC}">
              <c16:uniqueId val="{00000004-FF29-4887-94B1-2707A7C713C8}"/>
            </c:ext>
          </c:extLst>
        </c:ser>
        <c:dLbls>
          <c:showLegendKey val="0"/>
          <c:showVal val="0"/>
          <c:showCatName val="0"/>
          <c:showSerName val="0"/>
          <c:showPercent val="0"/>
          <c:showBubbleSize val="0"/>
        </c:dLbls>
        <c:marker val="1"/>
        <c:smooth val="0"/>
        <c:axId val="260792704"/>
        <c:axId val="260794240"/>
      </c:lineChart>
      <c:dateAx>
        <c:axId val="260792704"/>
        <c:scaling>
          <c:orientation val="minMax"/>
        </c:scaling>
        <c:delete val="0"/>
        <c:axPos val="b"/>
        <c:numFmt formatCode="mmm\-yy" sourceLinked="1"/>
        <c:majorTickMark val="out"/>
        <c:minorTickMark val="none"/>
        <c:tickLblPos val="nextTo"/>
        <c:crossAx val="260794240"/>
        <c:crosses val="autoZero"/>
        <c:auto val="1"/>
        <c:lblOffset val="100"/>
        <c:baseTimeUnit val="months"/>
      </c:dateAx>
      <c:valAx>
        <c:axId val="260794240"/>
        <c:scaling>
          <c:orientation val="minMax"/>
        </c:scaling>
        <c:delete val="0"/>
        <c:axPos val="l"/>
        <c:numFmt formatCode="0.00" sourceLinked="1"/>
        <c:majorTickMark val="out"/>
        <c:minorTickMark val="none"/>
        <c:tickLblPos val="nextTo"/>
        <c:crossAx val="260792704"/>
        <c:crosses val="autoZero"/>
        <c:crossBetween val="between"/>
      </c:valAx>
    </c:plotArea>
    <c:plotVisOnly val="1"/>
    <c:dispBlanksAs val="gap"/>
    <c:showDLblsOverMax val="0"/>
  </c:chart>
  <c:spPr>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675735435390369"/>
          <c:y val="1.8334658974988247E-2"/>
          <c:w val="0.74287164051630816"/>
          <c:h val="0.82868560412299197"/>
        </c:manualLayout>
      </c:layout>
      <c:barChart>
        <c:barDir val="col"/>
        <c:grouping val="clustered"/>
        <c:varyColors val="0"/>
        <c:ser>
          <c:idx val="0"/>
          <c:order val="0"/>
          <c:tx>
            <c:strRef>
              <c:f>'Resultado Presupuestario'!$C$6</c:f>
              <c:strCache>
                <c:ptCount val="1"/>
                <c:pt idx="0">
                  <c:v>Resultado Presupuestario</c:v>
                </c:pt>
              </c:strCache>
            </c:strRef>
          </c:tx>
          <c:spPr>
            <a:solidFill>
              <a:schemeClr val="accent1">
                <a:lumMod val="75000"/>
              </a:schemeClr>
            </a:solidFill>
            <a:ln>
              <a:noFill/>
            </a:ln>
            <a:effectLst/>
            <a:scene3d>
              <a:camera prst="orthographicFront"/>
              <a:lightRig rig="threePt" dir="t"/>
            </a:scene3d>
            <a:sp3d>
              <a:bevelT/>
              <a:bevelB/>
            </a:sp3d>
          </c:spPr>
          <c:invertIfNegative val="0"/>
          <c:dLbls>
            <c:dLbl>
              <c:idx val="6"/>
              <c:layout>
                <c:manualLayout>
                  <c:x val="-1.9491143040434146E-3"/>
                  <c:y val="5.7081422003747257E-3"/>
                </c:manualLayout>
              </c:layout>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s-GT"/>
                </a:p>
              </c:txPr>
              <c:dLblPos val="outEnd"/>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1ED-419B-A68C-8F923ABA6CE4}"/>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s-GT"/>
              </a:p>
            </c:txPr>
            <c:dLblPos val="inEnd"/>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'Resultado Presupuestario'!$B$9:$B$15</c:f>
              <c:strCache>
                <c:ptCount val="7"/>
                <c:pt idx="0">
                  <c:v>2013</c:v>
                </c:pt>
                <c:pt idx="1">
                  <c:v>2014</c:v>
                </c:pt>
                <c:pt idx="2">
                  <c:v>2015</c:v>
                </c:pt>
                <c:pt idx="3">
                  <c:v>2016</c:v>
                </c:pt>
                <c:pt idx="4">
                  <c:v>2017</c:v>
                </c:pt>
                <c:pt idx="5">
                  <c:v>2018</c:v>
                </c:pt>
                <c:pt idx="6">
                  <c:v>2019*</c:v>
                </c:pt>
              </c:strCache>
            </c:strRef>
          </c:cat>
          <c:val>
            <c:numRef>
              <c:f>'Resultado Presupuestario'!$C$9:$C$15</c:f>
              <c:numCache>
                <c:formatCode>_(* #,##0.0_);_(* \(#,##0.0\);_(* "-"??_);_(@_)</c:formatCode>
                <c:ptCount val="7"/>
                <c:pt idx="0">
                  <c:v>9009.7867992600004</c:v>
                </c:pt>
                <c:pt idx="1">
                  <c:v>8594.4001190099953</c:v>
                </c:pt>
                <c:pt idx="2">
                  <c:v>7007.4932463399964</c:v>
                </c:pt>
                <c:pt idx="3">
                  <c:v>5572.6654719899961</c:v>
                </c:pt>
                <c:pt idx="4">
                  <c:v>7287.7273662600019</c:v>
                </c:pt>
                <c:pt idx="5">
                  <c:v>10375.9</c:v>
                </c:pt>
                <c:pt idx="6">
                  <c:v>13294.358591100012</c:v>
                </c:pt>
              </c:numCache>
            </c:numRef>
          </c:val>
          <c:extLst xmlns:c16r2="http://schemas.microsoft.com/office/drawing/2015/06/chart">
            <c:ext xmlns:c16="http://schemas.microsoft.com/office/drawing/2014/chart" uri="{C3380CC4-5D6E-409C-BE32-E72D297353CC}">
              <c16:uniqueId val="{00000001-F1ED-419B-A68C-8F923ABA6CE4}"/>
            </c:ext>
          </c:extLst>
        </c:ser>
        <c:dLbls>
          <c:showLegendKey val="0"/>
          <c:showVal val="0"/>
          <c:showCatName val="0"/>
          <c:showSerName val="0"/>
          <c:showPercent val="0"/>
          <c:showBubbleSize val="0"/>
        </c:dLbls>
        <c:gapWidth val="30"/>
        <c:axId val="260881024"/>
        <c:axId val="260964736"/>
      </c:barChart>
      <c:lineChart>
        <c:grouping val="standard"/>
        <c:varyColors val="0"/>
        <c:ser>
          <c:idx val="1"/>
          <c:order val="1"/>
          <c:tx>
            <c:strRef>
              <c:f>'Resultado Presupuestario'!$D$6</c:f>
              <c:strCache>
                <c:ptCount val="1"/>
                <c:pt idx="0">
                  <c:v>% del PIB</c:v>
                </c:pt>
              </c:strCache>
            </c:strRef>
          </c:tx>
          <c:spPr>
            <a:ln w="38100" cap="rnd">
              <a:solidFill>
                <a:srgbClr val="FF0000"/>
              </a:solidFill>
              <a:round/>
            </a:ln>
            <a:effectLst/>
          </c:spPr>
          <c:marker>
            <c:symbol val="diamond"/>
            <c:size val="4"/>
            <c:spPr>
              <a:solidFill>
                <a:schemeClr val="bg1"/>
              </a:solidFill>
            </c:spPr>
          </c:marker>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1ED-419B-A68C-8F923ABA6CE4}"/>
                </c:ext>
              </c:extLst>
            </c:dLbl>
            <c:dLbl>
              <c:idx val="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1ED-419B-A68C-8F923ABA6CE4}"/>
                </c:ext>
              </c:extLst>
            </c:dLbl>
            <c:dLbl>
              <c:idx val="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1ED-419B-A68C-8F923ABA6CE4}"/>
                </c:ext>
              </c:extLst>
            </c:dLbl>
            <c:dLbl>
              <c:idx val="3"/>
              <c:layout>
                <c:manualLayout>
                  <c:x val="-2.5338465854346241E-2"/>
                  <c:y val="-3.206052192275146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F1ED-419B-A68C-8F923ABA6CE4}"/>
                </c:ext>
              </c:extLst>
            </c:dLbl>
            <c:dLbl>
              <c:idx val="4"/>
              <c:layout>
                <c:manualLayout>
                  <c:x val="-5.6587719520250206E-2"/>
                  <c:y val="-3.374729623040043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1ED-419B-A68C-8F923ABA6CE4}"/>
                </c:ext>
              </c:extLst>
            </c:dLbl>
            <c:dLbl>
              <c:idx val="5"/>
              <c:layout>
                <c:manualLayout>
                  <c:x val="-6.1114737081870305E-2"/>
                  <c:y val="-2.624789706808923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1ED-419B-A68C-8F923ABA6CE4}"/>
                </c:ext>
              </c:extLst>
            </c:dLbl>
            <c:dLbl>
              <c:idx val="6"/>
              <c:layout>
                <c:manualLayout>
                  <c:x val="-2.1377503716966586E-2"/>
                  <c:y val="2.2498197486933626E-2"/>
                </c:manualLayout>
              </c:layout>
              <c:spPr>
                <a:noFill/>
                <a:ln>
                  <a:noFill/>
                </a:ln>
                <a:effectLst/>
              </c:spPr>
              <c:txPr>
                <a:bodyPr/>
                <a:lstStyle/>
                <a:p>
                  <a:pPr>
                    <a:defRPr sz="700" b="1" i="1">
                      <a:solidFill>
                        <a:schemeClr val="bg1"/>
                      </a:solidFill>
                    </a:defRPr>
                  </a:pPr>
                  <a:endParaRPr lang="es-GT"/>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1ED-419B-A68C-8F923ABA6CE4}"/>
                </c:ext>
              </c:extLst>
            </c:dLbl>
            <c:dLbl>
              <c:idx val="8"/>
              <c:layout>
                <c:manualLayout>
                  <c:x val="-4.0742090625309105E-2"/>
                  <c:y val="-2.5872022107337314E-2"/>
                </c:manualLayout>
              </c:layout>
              <c:spPr>
                <a:noFill/>
                <a:ln>
                  <a:noFill/>
                </a:ln>
                <a:effectLst/>
              </c:spPr>
              <c:txPr>
                <a:bodyPr/>
                <a:lstStyle/>
                <a:p>
                  <a:pPr>
                    <a:defRPr sz="700" b="1" i="1">
                      <a:solidFill>
                        <a:schemeClr val="bg1"/>
                      </a:solidFill>
                    </a:defRPr>
                  </a:pPr>
                  <a:endParaRPr lang="es-GT"/>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1ED-419B-A68C-8F923ABA6CE4}"/>
                </c:ext>
              </c:extLst>
            </c:dLbl>
            <c:spPr>
              <a:noFill/>
              <a:ln>
                <a:noFill/>
              </a:ln>
              <a:effectLst/>
            </c:spPr>
            <c:txPr>
              <a:bodyPr/>
              <a:lstStyle/>
              <a:p>
                <a:pPr>
                  <a:defRPr sz="700" b="1" i="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strRef>
              <c:f>'Resultado Presupuestario'!$B$9:$B$15</c:f>
              <c:strCache>
                <c:ptCount val="7"/>
                <c:pt idx="0">
                  <c:v>2013</c:v>
                </c:pt>
                <c:pt idx="1">
                  <c:v>2014</c:v>
                </c:pt>
                <c:pt idx="2">
                  <c:v>2015</c:v>
                </c:pt>
                <c:pt idx="3">
                  <c:v>2016</c:v>
                </c:pt>
                <c:pt idx="4">
                  <c:v>2017</c:v>
                </c:pt>
                <c:pt idx="5">
                  <c:v>2018</c:v>
                </c:pt>
                <c:pt idx="6">
                  <c:v>2019*</c:v>
                </c:pt>
              </c:strCache>
            </c:strRef>
          </c:cat>
          <c:val>
            <c:numRef>
              <c:f>'Resultado Presupuestario'!$D$9:$D$15</c:f>
              <c:numCache>
                <c:formatCode>0.0%</c:formatCode>
                <c:ptCount val="7"/>
                <c:pt idx="0">
                  <c:v>2.1638208167817825E-2</c:v>
                </c:pt>
                <c:pt idx="1">
                  <c:v>1.921281984894626E-2</c:v>
                </c:pt>
                <c:pt idx="2">
                  <c:v>1.4720918689385397E-2</c:v>
                </c:pt>
                <c:pt idx="3">
                  <c:v>1.1100135723853084E-2</c:v>
                </c:pt>
                <c:pt idx="4">
                  <c:v>1.3860552644585926E-2</c:v>
                </c:pt>
                <c:pt idx="5">
                  <c:v>1.8921209848151127E-2</c:v>
                </c:pt>
                <c:pt idx="6">
                  <c:v>2.2749922550872808E-2</c:v>
                </c:pt>
              </c:numCache>
            </c:numRef>
          </c:val>
          <c:smooth val="1"/>
          <c:extLst xmlns:c16r2="http://schemas.microsoft.com/office/drawing/2015/06/chart">
            <c:ext xmlns:c16="http://schemas.microsoft.com/office/drawing/2014/chart" uri="{C3380CC4-5D6E-409C-BE32-E72D297353CC}">
              <c16:uniqueId val="{0000000A-F1ED-419B-A68C-8F923ABA6CE4}"/>
            </c:ext>
          </c:extLst>
        </c:ser>
        <c:dLbls>
          <c:showLegendKey val="0"/>
          <c:showVal val="0"/>
          <c:showCatName val="0"/>
          <c:showSerName val="0"/>
          <c:showPercent val="0"/>
          <c:showBubbleSize val="0"/>
        </c:dLbls>
        <c:marker val="1"/>
        <c:smooth val="0"/>
        <c:axId val="260972928"/>
        <c:axId val="260966656"/>
      </c:lineChart>
      <c:catAx>
        <c:axId val="26088102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GT"/>
          </a:p>
        </c:txPr>
        <c:crossAx val="260964736"/>
        <c:crosses val="autoZero"/>
        <c:auto val="1"/>
        <c:lblAlgn val="ctr"/>
        <c:lblOffset val="100"/>
        <c:noMultiLvlLbl val="0"/>
      </c:catAx>
      <c:valAx>
        <c:axId val="260964736"/>
        <c:scaling>
          <c:orientation val="minMax"/>
        </c:scaling>
        <c:delete val="0"/>
        <c:axPos val="l"/>
        <c:title>
          <c:tx>
            <c:rich>
              <a:bodyPr rot="-5400000" vert="horz"/>
              <a:lstStyle/>
              <a:p>
                <a:pPr>
                  <a:defRPr sz="800"/>
                </a:pPr>
                <a:r>
                  <a:rPr lang="en-US" sz="800"/>
                  <a:t>Millones de Quetzales</a:t>
                </a:r>
              </a:p>
            </c:rich>
          </c:tx>
          <c:layout>
            <c:manualLayout>
              <c:xMode val="edge"/>
              <c:yMode val="edge"/>
              <c:x val="1.1734137340408802E-2"/>
              <c:y val="0.26653798483522895"/>
            </c:manualLayout>
          </c:layout>
          <c:overlay val="0"/>
        </c:title>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GT"/>
          </a:p>
        </c:txPr>
        <c:crossAx val="260881024"/>
        <c:crosses val="autoZero"/>
        <c:crossBetween val="between"/>
      </c:valAx>
      <c:valAx>
        <c:axId val="260966656"/>
        <c:scaling>
          <c:orientation val="minMax"/>
        </c:scaling>
        <c:delete val="0"/>
        <c:axPos val="r"/>
        <c:title>
          <c:tx>
            <c:rich>
              <a:bodyPr rot="5400000" vert="horz"/>
              <a:lstStyle/>
              <a:p>
                <a:pPr>
                  <a:defRPr sz="800"/>
                </a:pPr>
                <a:r>
                  <a:rPr lang="en-US" sz="800"/>
                  <a:t>Porcentaje del PIB</a:t>
                </a:r>
              </a:p>
            </c:rich>
          </c:tx>
          <c:layout>
            <c:manualLayout>
              <c:xMode val="edge"/>
              <c:yMode val="edge"/>
              <c:x val="0.95126803523050008"/>
              <c:y val="0.31948928258967635"/>
            </c:manualLayout>
          </c:layout>
          <c:overlay val="0"/>
        </c:title>
        <c:numFmt formatCode="0.0%" sourceLinked="1"/>
        <c:majorTickMark val="out"/>
        <c:minorTickMark val="none"/>
        <c:tickLblPos val="high"/>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GT"/>
          </a:p>
        </c:txPr>
        <c:crossAx val="260972928"/>
        <c:crosses val="max"/>
        <c:crossBetween val="between"/>
      </c:valAx>
      <c:catAx>
        <c:axId val="260972928"/>
        <c:scaling>
          <c:orientation val="minMax"/>
        </c:scaling>
        <c:delete val="1"/>
        <c:axPos val="b"/>
        <c:numFmt formatCode="General" sourceLinked="1"/>
        <c:majorTickMark val="out"/>
        <c:minorTickMark val="none"/>
        <c:tickLblPos val="nextTo"/>
        <c:crossAx val="260966656"/>
        <c:crosses val="autoZero"/>
        <c:auto val="1"/>
        <c:lblAlgn val="ctr"/>
        <c:lblOffset val="100"/>
        <c:noMultiLvlLbl val="0"/>
      </c:catAx>
      <c:spPr>
        <a:noFill/>
        <a:ln>
          <a:noFill/>
        </a:ln>
        <a:effectLst/>
      </c:spPr>
    </c:plotArea>
    <c:legend>
      <c:legendPos val="b"/>
      <c:layout>
        <c:manualLayout>
          <c:xMode val="edge"/>
          <c:yMode val="edge"/>
          <c:x val="0.20710410251163924"/>
          <c:y val="0.9329392669927401"/>
          <c:w val="0.59263576772767568"/>
          <c:h val="4.8490630871698144E-2"/>
        </c:manualLayout>
      </c:layout>
      <c:overlay val="0"/>
      <c:spPr>
        <a:solidFill>
          <a:sysClr val="window" lastClr="FFFFFF"/>
        </a:solidFill>
        <a:ln>
          <a:noFill/>
        </a:ln>
        <a:effectLst/>
      </c:spPr>
      <c:txPr>
        <a:bodyPr rot="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es-GT"/>
        </a:p>
      </c:txPr>
    </c:legend>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82402879895573"/>
          <c:y val="2.2100416327269435E-2"/>
          <c:w val="0.82727737904978627"/>
          <c:h val="0.89247384746763114"/>
        </c:manualLayout>
      </c:layout>
      <c:barChart>
        <c:barDir val="col"/>
        <c:grouping val="clustered"/>
        <c:varyColors val="0"/>
        <c:ser>
          <c:idx val="0"/>
          <c:order val="0"/>
          <c:tx>
            <c:strRef>
              <c:f>'Serie Tributarios'!$B$7</c:f>
              <c:strCache>
                <c:ptCount val="1"/>
                <c:pt idx="0">
                  <c:v>Acumulado al 31 de diciembre</c:v>
                </c:pt>
              </c:strCache>
            </c:strRef>
          </c:tx>
          <c:spPr>
            <a:solidFill>
              <a:schemeClr val="tx2">
                <a:lumMod val="60000"/>
                <a:lumOff val="40000"/>
              </a:schemeClr>
            </a:solidFill>
            <a:scene3d>
              <a:camera prst="orthographicFront"/>
              <a:lightRig rig="threePt" dir="t">
                <a:rot lat="0" lon="0" rev="1200000"/>
              </a:lightRig>
            </a:scene3d>
            <a:sp3d prstMaterial="metal">
              <a:bevelT w="63500" h="25400"/>
            </a:sp3d>
          </c:spPr>
          <c:invertIfNegative val="0"/>
          <c:dPt>
            <c:idx val="6"/>
            <c:invertIfNegative val="0"/>
            <c:bubble3D val="0"/>
            <c:spPr>
              <a:solidFill>
                <a:schemeClr val="tx2">
                  <a:lumMod val="60000"/>
                  <a:lumOff val="40000"/>
                </a:schemeClr>
              </a:solidFill>
              <a:scene3d>
                <a:camera prst="orthographicFront"/>
                <a:lightRig rig="threePt" dir="t">
                  <a:rot lat="0" lon="0" rev="1200000"/>
                </a:lightRig>
              </a:scene3d>
              <a:sp3d prstMaterial="metal">
                <a:bevelT w="63500" h="25400"/>
              </a:sp3d>
            </c:spPr>
            <c:extLst xmlns:c16r2="http://schemas.microsoft.com/office/drawing/2015/06/chart">
              <c:ext xmlns:c16="http://schemas.microsoft.com/office/drawing/2014/chart" uri="{C3380CC4-5D6E-409C-BE32-E72D297353CC}">
                <c16:uniqueId val="{00000001-DD8D-4023-9FCF-B1DD8C81D7C6}"/>
              </c:ext>
            </c:extLst>
          </c:dPt>
          <c:dPt>
            <c:idx val="7"/>
            <c:invertIfNegative val="0"/>
            <c:bubble3D val="0"/>
            <c:spPr>
              <a:solidFill>
                <a:schemeClr val="tx2">
                  <a:lumMod val="60000"/>
                  <a:lumOff val="40000"/>
                </a:schemeClr>
              </a:solidFill>
              <a:scene3d>
                <a:camera prst="orthographicFront"/>
                <a:lightRig rig="threePt" dir="t">
                  <a:rot lat="0" lon="0" rev="1200000"/>
                </a:lightRig>
              </a:scene3d>
              <a:sp3d prstMaterial="metal">
                <a:bevelT w="63500" h="25400"/>
              </a:sp3d>
            </c:spPr>
            <c:extLst xmlns:c16r2="http://schemas.microsoft.com/office/drawing/2015/06/chart">
              <c:ext xmlns:c16="http://schemas.microsoft.com/office/drawing/2014/chart" uri="{C3380CC4-5D6E-409C-BE32-E72D297353CC}">
                <c16:uniqueId val="{00000003-DD8D-4023-9FCF-B1DD8C81D7C6}"/>
              </c:ext>
            </c:extLst>
          </c:dPt>
          <c:dPt>
            <c:idx val="8"/>
            <c:invertIfNegative val="0"/>
            <c:bubble3D val="0"/>
            <c:spPr>
              <a:solidFill>
                <a:schemeClr val="accent1"/>
              </a:solidFill>
              <a:scene3d>
                <a:camera prst="orthographicFront"/>
                <a:lightRig rig="threePt" dir="t">
                  <a:rot lat="0" lon="0" rev="1200000"/>
                </a:lightRig>
              </a:scene3d>
              <a:sp3d prstMaterial="metal">
                <a:bevelT w="63500" h="25400"/>
              </a:sp3d>
            </c:spPr>
            <c:extLst xmlns:c16r2="http://schemas.microsoft.com/office/drawing/2015/06/chart">
              <c:ext xmlns:c16="http://schemas.microsoft.com/office/drawing/2014/chart" uri="{C3380CC4-5D6E-409C-BE32-E72D297353CC}">
                <c16:uniqueId val="{00000005-DD8D-4023-9FCF-B1DD8C81D7C6}"/>
              </c:ext>
            </c:extLst>
          </c:dPt>
          <c:dPt>
            <c:idx val="9"/>
            <c:invertIfNegative val="0"/>
            <c:bubble3D val="0"/>
            <c:spPr>
              <a:solidFill>
                <a:schemeClr val="tx2"/>
              </a:solidFill>
              <a:scene3d>
                <a:camera prst="orthographicFront"/>
                <a:lightRig rig="threePt" dir="t">
                  <a:rot lat="0" lon="0" rev="1200000"/>
                </a:lightRig>
              </a:scene3d>
              <a:sp3d prstMaterial="metal">
                <a:bevelT w="63500" h="25400"/>
              </a:sp3d>
            </c:spPr>
            <c:extLst xmlns:c16r2="http://schemas.microsoft.com/office/drawing/2015/06/chart">
              <c:ext xmlns:c16="http://schemas.microsoft.com/office/drawing/2014/chart" uri="{C3380CC4-5D6E-409C-BE32-E72D297353CC}">
                <c16:uniqueId val="{00000007-DD8D-4023-9FCF-B1DD8C81D7C6}"/>
              </c:ext>
            </c:extLst>
          </c:dPt>
          <c:dLbls>
            <c:numFmt formatCode="#,##0.0" sourceLinked="0"/>
            <c:spPr>
              <a:noFill/>
              <a:ln>
                <a:noFill/>
              </a:ln>
              <a:effectLst/>
            </c:spPr>
            <c:txPr>
              <a:bodyPr/>
              <a:lstStyle/>
              <a:p>
                <a:pPr>
                  <a:defRPr sz="700" b="0">
                    <a:latin typeface="Times New Roman" pitchFamily="18" charset="0"/>
                    <a:cs typeface="Times New Roman"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'Serie Tributarios'!$D$6:$M$6</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'Serie Tributarios'!$D$7:$M$7</c:f>
              <c:numCache>
                <c:formatCode>_(* #,##0.0_);_(* \(#,##0.0\);_(* "-"??_);_(@_)</c:formatCode>
                <c:ptCount val="10"/>
                <c:pt idx="0">
                  <c:v>34772</c:v>
                </c:pt>
                <c:pt idx="1">
                  <c:v>40292.199999999997</c:v>
                </c:pt>
                <c:pt idx="2">
                  <c:v>42819.8</c:v>
                </c:pt>
                <c:pt idx="3">
                  <c:v>46335.5</c:v>
                </c:pt>
                <c:pt idx="4">
                  <c:v>49096.9</c:v>
                </c:pt>
                <c:pt idx="5">
                  <c:v>49730.7</c:v>
                </c:pt>
                <c:pt idx="6">
                  <c:v>54109.5</c:v>
                </c:pt>
                <c:pt idx="7">
                  <c:v>56684.1</c:v>
                </c:pt>
                <c:pt idx="8">
                  <c:v>58835.6</c:v>
                </c:pt>
                <c:pt idx="9">
                  <c:v>62593.599999999999</c:v>
                </c:pt>
              </c:numCache>
            </c:numRef>
          </c:val>
          <c:extLst xmlns:c16r2="http://schemas.microsoft.com/office/drawing/2015/06/chart">
            <c:ext xmlns:c16="http://schemas.microsoft.com/office/drawing/2014/chart" uri="{C3380CC4-5D6E-409C-BE32-E72D297353CC}">
              <c16:uniqueId val="{00000008-DD8D-4023-9FCF-B1DD8C81D7C6}"/>
            </c:ext>
          </c:extLst>
        </c:ser>
        <c:ser>
          <c:idx val="1"/>
          <c:order val="1"/>
          <c:tx>
            <c:strRef>
              <c:f>'grafica tributarios al 30 junio'!#REF!</c:f>
              <c:strCache>
                <c:ptCount val="1"/>
                <c:pt idx="0">
                  <c:v>#REF!</c:v>
                </c:pt>
              </c:strCache>
            </c:strRef>
          </c:tx>
          <c:spPr>
            <a:solidFill>
              <a:schemeClr val="accent3">
                <a:lumMod val="75000"/>
              </a:schemeClr>
            </a:solidFill>
          </c:spPr>
          <c:invertIfNegative val="0"/>
          <c:dLbls>
            <c:delete val="1"/>
          </c:dLbls>
          <c:cat>
            <c:numRef>
              <c:f>'Serie Tributarios'!$D$6:$M$6</c:f>
              <c:numCache>
                <c:formatCode>General</c:formatCode>
                <c:ptCount val="10"/>
                <c:pt idx="0">
                  <c:v>2010</c:v>
                </c:pt>
                <c:pt idx="1">
                  <c:v>2011</c:v>
                </c:pt>
                <c:pt idx="2">
                  <c:v>2012</c:v>
                </c:pt>
                <c:pt idx="3">
                  <c:v>2013</c:v>
                </c:pt>
                <c:pt idx="4">
                  <c:v>2014</c:v>
                </c:pt>
                <c:pt idx="5">
                  <c:v>2015</c:v>
                </c:pt>
                <c:pt idx="6">
                  <c:v>2016</c:v>
                </c:pt>
                <c:pt idx="7">
                  <c:v>2017</c:v>
                </c:pt>
                <c:pt idx="8">
                  <c:v>2018</c:v>
                </c:pt>
                <c:pt idx="9">
                  <c:v>2019</c:v>
                </c:pt>
              </c:numCache>
            </c:numRef>
          </c:cat>
          <c:val>
            <c:numRef>
              <c:f>'grafica tributarios al 30 junio'!#REF!</c:f>
              <c:numCache>
                <c:formatCode>General</c:formatCode>
                <c:ptCount val="1"/>
                <c:pt idx="0">
                  <c:v>1</c:v>
                </c:pt>
              </c:numCache>
            </c:numRef>
          </c:val>
          <c:extLst xmlns:c16r2="http://schemas.microsoft.com/office/drawing/2015/06/chart">
            <c:ext xmlns:c16="http://schemas.microsoft.com/office/drawing/2014/chart" uri="{C3380CC4-5D6E-409C-BE32-E72D297353CC}">
              <c16:uniqueId val="{00000009-DD8D-4023-9FCF-B1DD8C81D7C6}"/>
            </c:ext>
          </c:extLst>
        </c:ser>
        <c:dLbls>
          <c:showLegendKey val="0"/>
          <c:showVal val="1"/>
          <c:showCatName val="0"/>
          <c:showSerName val="0"/>
          <c:showPercent val="0"/>
          <c:showBubbleSize val="0"/>
        </c:dLbls>
        <c:gapWidth val="29"/>
        <c:overlap val="100"/>
        <c:axId val="261977984"/>
        <c:axId val="261979520"/>
      </c:barChart>
      <c:catAx>
        <c:axId val="261977984"/>
        <c:scaling>
          <c:orientation val="minMax"/>
        </c:scaling>
        <c:delete val="0"/>
        <c:axPos val="b"/>
        <c:numFmt formatCode="General" sourceLinked="1"/>
        <c:majorTickMark val="none"/>
        <c:minorTickMark val="none"/>
        <c:tickLblPos val="nextTo"/>
        <c:txPr>
          <a:bodyPr/>
          <a:lstStyle/>
          <a:p>
            <a:pPr>
              <a:defRPr sz="1000" b="1">
                <a:latin typeface="Times New Roman" pitchFamily="18" charset="0"/>
                <a:cs typeface="Times New Roman" pitchFamily="18" charset="0"/>
              </a:defRPr>
            </a:pPr>
            <a:endParaRPr lang="es-GT"/>
          </a:p>
        </c:txPr>
        <c:crossAx val="261979520"/>
        <c:crosses val="autoZero"/>
        <c:auto val="1"/>
        <c:lblAlgn val="ctr"/>
        <c:lblOffset val="100"/>
        <c:noMultiLvlLbl val="0"/>
      </c:catAx>
      <c:valAx>
        <c:axId val="261979520"/>
        <c:scaling>
          <c:orientation val="minMax"/>
        </c:scaling>
        <c:delete val="0"/>
        <c:axPos val="l"/>
        <c:title>
          <c:tx>
            <c:rich>
              <a:bodyPr rot="-5400000" vert="horz"/>
              <a:lstStyle/>
              <a:p>
                <a:pPr>
                  <a:defRPr sz="1200" b="1">
                    <a:latin typeface="Times New Roman" pitchFamily="18" charset="0"/>
                    <a:cs typeface="Times New Roman" pitchFamily="18" charset="0"/>
                  </a:defRPr>
                </a:pPr>
                <a:r>
                  <a:rPr lang="en-US" sz="1200" b="1">
                    <a:latin typeface="Times New Roman" pitchFamily="18" charset="0"/>
                    <a:cs typeface="Times New Roman" pitchFamily="18" charset="0"/>
                  </a:rPr>
                  <a:t>Millones de Quetzales</a:t>
                </a:r>
              </a:p>
            </c:rich>
          </c:tx>
          <c:layout>
            <c:manualLayout>
              <c:xMode val="edge"/>
              <c:yMode val="edge"/>
              <c:x val="7.6827471610621152E-3"/>
              <c:y val="0.4200160014773805"/>
            </c:manualLayout>
          </c:layout>
          <c:overlay val="0"/>
        </c:title>
        <c:numFmt formatCode="#,##0" sourceLinked="0"/>
        <c:majorTickMark val="none"/>
        <c:minorTickMark val="none"/>
        <c:tickLblPos val="nextTo"/>
        <c:txPr>
          <a:bodyPr/>
          <a:lstStyle/>
          <a:p>
            <a:pPr>
              <a:defRPr sz="1000" b="1">
                <a:latin typeface="Times New Roman" pitchFamily="18" charset="0"/>
                <a:cs typeface="Times New Roman" pitchFamily="18" charset="0"/>
              </a:defRPr>
            </a:pPr>
            <a:endParaRPr lang="es-GT"/>
          </a:p>
        </c:txPr>
        <c:crossAx val="261977984"/>
        <c:crosses val="autoZero"/>
        <c:crossBetween val="between"/>
      </c:valAx>
    </c:plotArea>
    <c:plotVisOnly val="1"/>
    <c:dispBlanksAs val="gap"/>
    <c:showDLblsOverMax val="0"/>
  </c:chart>
  <c:spPr>
    <a:solidFill>
      <a:schemeClr val="bg1"/>
    </a:solidFill>
    <a:ln>
      <a:noFill/>
    </a:ln>
  </c:sp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0.05645</cdr:x>
      <cdr:y>0.86339</cdr:y>
    </cdr:from>
    <cdr:to>
      <cdr:x>0.27319</cdr:x>
      <cdr:y>0.96948</cdr:y>
    </cdr:to>
    <cdr:sp macro="" textlink="">
      <cdr:nvSpPr>
        <cdr:cNvPr id="2" name="1 CuadroTexto"/>
        <cdr:cNvSpPr txBox="1"/>
      </cdr:nvSpPr>
      <cdr:spPr>
        <a:xfrm xmlns:a="http://schemas.openxmlformats.org/drawingml/2006/main">
          <a:off x="316695" y="3384928"/>
          <a:ext cx="1215960" cy="4159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l"/>
          <a:r>
            <a:rPr lang="es-GT" sz="1000">
              <a:latin typeface="Times New Roman" pitchFamily="18" charset="0"/>
              <a:ea typeface="+mn-ea"/>
              <a:cs typeface="Times New Roman" pitchFamily="18" charset="0"/>
            </a:rPr>
            <a:t>   </a:t>
          </a:r>
          <a:r>
            <a:rPr lang="es-GT" sz="900">
              <a:latin typeface="Times New Roman" pitchFamily="18" charset="0"/>
              <a:ea typeface="+mn-ea"/>
              <a:cs typeface="Times New Roman" pitchFamily="18" charset="0"/>
            </a:rPr>
            <a:t>p/preliminar</a:t>
          </a:r>
        </a:p>
        <a:p xmlns:a="http://schemas.openxmlformats.org/drawingml/2006/main">
          <a:pPr algn="l"/>
          <a:r>
            <a:rPr lang="es-GT" sz="900">
              <a:latin typeface="Times New Roman" pitchFamily="18" charset="0"/>
              <a:ea typeface="+mn-ea"/>
              <a:cs typeface="Times New Roman" pitchFamily="18" charset="0"/>
            </a:rPr>
            <a:t>   py/proyectado</a:t>
          </a:r>
        </a:p>
      </cdr:txBody>
    </cdr:sp>
  </cdr:relSizeAnchor>
  <cdr:relSizeAnchor xmlns:cdr="http://schemas.openxmlformats.org/drawingml/2006/chartDrawing">
    <cdr:from>
      <cdr:x>0.04968</cdr:x>
      <cdr:y>0.95023</cdr:y>
    </cdr:from>
    <cdr:to>
      <cdr:x>0.36372</cdr:x>
      <cdr:y>1</cdr:y>
    </cdr:to>
    <cdr:sp macro="" textlink="">
      <cdr:nvSpPr>
        <cdr:cNvPr id="3" name="2 CuadroTexto"/>
        <cdr:cNvSpPr txBox="1"/>
      </cdr:nvSpPr>
      <cdr:spPr>
        <a:xfrm xmlns:a="http://schemas.openxmlformats.org/drawingml/2006/main">
          <a:off x="278716" y="3510336"/>
          <a:ext cx="1761835" cy="183840"/>
        </a:xfrm>
        <a:prstGeom xmlns:a="http://schemas.openxmlformats.org/drawingml/2006/main" prst="rect">
          <a:avLst/>
        </a:prstGeom>
      </cdr:spPr>
      <cdr:txBody>
        <a:bodyPr xmlns:a="http://schemas.openxmlformats.org/drawingml/2006/main" vertOverflow="clip" wrap="none" rtlCol="0" anchor="ctr"/>
        <a:lstStyle xmlns:a="http://schemas.openxmlformats.org/drawingml/2006/main"/>
        <a:p xmlns:a="http://schemas.openxmlformats.org/drawingml/2006/main">
          <a:r>
            <a:rPr lang="es-GT" sz="1000">
              <a:latin typeface="Times New Roman" pitchFamily="18" charset="0"/>
              <a:cs typeface="Times New Roman" pitchFamily="18" charset="0"/>
            </a:rPr>
            <a:t>    </a:t>
          </a:r>
          <a:r>
            <a:rPr lang="es-GT" sz="900">
              <a:latin typeface="Times New Roman" pitchFamily="18" charset="0"/>
              <a:cs typeface="Times New Roman" pitchFamily="18" charset="0"/>
            </a:rPr>
            <a:t>Fuente: Banco de Guatemala</a:t>
          </a:r>
          <a:r>
            <a:rPr lang="es-GT" sz="1000">
              <a:latin typeface="Times New Roman" pitchFamily="18" charset="0"/>
              <a:cs typeface="Times New Roman" pitchFamily="18" charset="0"/>
            </a:rPr>
            <a:t>.</a:t>
          </a:r>
        </a:p>
      </cdr:txBody>
    </cdr:sp>
  </cdr:relSizeAnchor>
  <cdr:relSizeAnchor xmlns:cdr="http://schemas.openxmlformats.org/drawingml/2006/chartDrawing">
    <cdr:from>
      <cdr:x>0.85889</cdr:x>
      <cdr:y>0.33602</cdr:y>
    </cdr:from>
    <cdr:to>
      <cdr:x>1</cdr:x>
      <cdr:y>0.4445</cdr:y>
    </cdr:to>
    <cdr:sp macro="" textlink="">
      <cdr:nvSpPr>
        <cdr:cNvPr id="4" name="3 CuadroTexto"/>
        <cdr:cNvSpPr txBox="1"/>
      </cdr:nvSpPr>
      <cdr:spPr>
        <a:xfrm xmlns:a="http://schemas.openxmlformats.org/drawingml/2006/main">
          <a:off x="5565600" y="1209675"/>
          <a:ext cx="914400"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GT" sz="1100"/>
        </a:p>
      </cdr:txBody>
    </cdr:sp>
  </cdr:relSizeAnchor>
</c:userShape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F83043-0AB9-467B-B4B2-1E95887F2A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4696</TotalTime>
  <Pages>71</Pages>
  <Words>18762</Words>
  <Characters>103197</Characters>
  <Application>Microsoft Office Word</Application>
  <DocSecurity>0</DocSecurity>
  <Lines>859</Lines>
  <Paragraphs>243</Paragraphs>
  <ScaleCrop>false</ScaleCrop>
  <HeadingPairs>
    <vt:vector size="2" baseType="variant">
      <vt:variant>
        <vt:lpstr>Título</vt:lpstr>
      </vt:variant>
      <vt:variant>
        <vt:i4>1</vt:i4>
      </vt:variant>
    </vt:vector>
  </HeadingPairs>
  <TitlesOfParts>
    <vt:vector size="1" baseType="lpstr">
      <vt:lpstr>Índice de Presupuesto Abierto                                                   Informe de Fin de Año al 31 de diciembre de 2019</vt:lpstr>
    </vt:vector>
  </TitlesOfParts>
  <Company>Microsoft</Company>
  <LinksUpToDate>false</LinksUpToDate>
  <CharactersWithSpaces>121716</CharactersWithSpaces>
  <SharedDoc>false</SharedDoc>
  <HLinks>
    <vt:vector size="36" baseType="variant">
      <vt:variant>
        <vt:i4>5505078</vt:i4>
      </vt:variant>
      <vt:variant>
        <vt:i4>15</vt:i4>
      </vt:variant>
      <vt:variant>
        <vt:i4>0</vt:i4>
      </vt:variant>
      <vt:variant>
        <vt:i4>5</vt:i4>
      </vt:variant>
      <vt:variant>
        <vt:lpwstr>http://portal.sat.gob.gt/sitio/index.php/leyes/doc_details/2683-acuerdodedirectorionumero08-2011face.html</vt:lpwstr>
      </vt:variant>
      <vt:variant>
        <vt:lpwstr/>
      </vt:variant>
      <vt:variant>
        <vt:i4>1114202</vt:i4>
      </vt:variant>
      <vt:variant>
        <vt:i4>12</vt:i4>
      </vt:variant>
      <vt:variant>
        <vt:i4>0</vt:i4>
      </vt:variant>
      <vt:variant>
        <vt:i4>5</vt:i4>
      </vt:variant>
      <vt:variant>
        <vt:lpwstr>http://www.sgp.gob.gt/PaginaWeb/Acuerdos/2011/presidencia/AG-168-2011.pdf</vt:lpwstr>
      </vt:variant>
      <vt:variant>
        <vt:lpwstr/>
      </vt:variant>
      <vt:variant>
        <vt:i4>4653175</vt:i4>
      </vt:variant>
      <vt:variant>
        <vt:i4>9</vt:i4>
      </vt:variant>
      <vt:variant>
        <vt:i4>0</vt:i4>
      </vt:variant>
      <vt:variant>
        <vt:i4>5</vt:i4>
      </vt:variant>
      <vt:variant>
        <vt:lpwstr>http://www.sgp.gob.gt/PaginaWeb/PEsp/AG2011_Esp.htm</vt:lpwstr>
      </vt:variant>
      <vt:variant>
        <vt:lpwstr/>
      </vt:variant>
      <vt:variant>
        <vt:i4>3801144</vt:i4>
      </vt:variant>
      <vt:variant>
        <vt:i4>6</vt:i4>
      </vt:variant>
      <vt:variant>
        <vt:i4>0</vt:i4>
      </vt:variant>
      <vt:variant>
        <vt:i4>5</vt:i4>
      </vt:variant>
      <vt:variant>
        <vt:lpwstr>http://200.12.63.122/archivos/acuerdos/2010/CCLXXXVIII0790300050053201017022010.pdf</vt:lpwstr>
      </vt:variant>
      <vt:variant>
        <vt:lpwstr/>
      </vt:variant>
      <vt:variant>
        <vt:i4>6422584</vt:i4>
      </vt:variant>
      <vt:variant>
        <vt:i4>3</vt:i4>
      </vt:variant>
      <vt:variant>
        <vt:i4>0</vt:i4>
      </vt:variant>
      <vt:variant>
        <vt:i4>5</vt:i4>
      </vt:variant>
      <vt:variant>
        <vt:lpwstr>http://www.oj.gob.gt/es/QueEsOJ/EstructuraOJ/UnidadesAdministrativas/CentroAnalisisDocumentacionJudicial/cds/CDs leyes/2008/pdfs/decretos/D003-2008.pdf</vt:lpwstr>
      </vt:variant>
      <vt:variant>
        <vt:lpwstr/>
      </vt:variant>
      <vt:variant>
        <vt:i4>7667743</vt:i4>
      </vt:variant>
      <vt:variant>
        <vt:i4>0</vt:i4>
      </vt:variant>
      <vt:variant>
        <vt:i4>0</vt:i4>
      </vt:variant>
      <vt:variant>
        <vt:i4>5</vt:i4>
      </vt:variant>
      <vt:variant>
        <vt:lpwstr>http://www.minfin.gob.gt/2011-07-05-18-17-00/proyectospresupuesto/files.html?folder=2012\multianual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Índice de Presupuesto Abierto                                                   Informe de Fin de Año al 31 de diciembre de 2019</dc:title>
  <dc:creator>Saul Enrique De León Meneses</dc:creator>
  <cp:lastModifiedBy>José Antonio Menéndez Letona</cp:lastModifiedBy>
  <cp:revision>213</cp:revision>
  <cp:lastPrinted>2020-02-26T16:52:00Z</cp:lastPrinted>
  <dcterms:created xsi:type="dcterms:W3CDTF">2020-01-17T14:12:00Z</dcterms:created>
  <dcterms:modified xsi:type="dcterms:W3CDTF">2020-02-26T16:53:00Z</dcterms:modified>
</cp:coreProperties>
</file>